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08F5" w14:textId="71B0E03F" w:rsidR="00E512B7" w:rsidRPr="00173279" w:rsidRDefault="00E67E70" w:rsidP="00E67E70">
      <w:pPr>
        <w:spacing w:after="102" w:line="259" w:lineRule="auto"/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Summary </w:t>
      </w:r>
      <w:r w:rsidR="009C23C1">
        <w:rPr>
          <w:sz w:val="28"/>
          <w:szCs w:val="28"/>
          <w:u w:val="single"/>
        </w:rPr>
        <w:t xml:space="preserve">Extract of </w:t>
      </w:r>
      <w:r w:rsidR="007A16BF">
        <w:rPr>
          <w:sz w:val="28"/>
          <w:szCs w:val="28"/>
          <w:u w:val="single"/>
        </w:rPr>
        <w:t>Worksite numbers and density quotients during Metropolitan Roadmap Steps</w:t>
      </w:r>
      <w:r w:rsidR="00B23578">
        <w:rPr>
          <w:sz w:val="28"/>
          <w:szCs w:val="28"/>
          <w:u w:val="single"/>
        </w:rPr>
        <w:t xml:space="preserve"> for </w:t>
      </w:r>
      <w:r w:rsidR="007A16BF">
        <w:rPr>
          <w:sz w:val="28"/>
          <w:szCs w:val="28"/>
          <w:u w:val="single"/>
        </w:rPr>
        <w:t>the Construction Industry</w:t>
      </w:r>
      <w:r w:rsidR="00B23578">
        <w:rPr>
          <w:sz w:val="28"/>
          <w:szCs w:val="28"/>
          <w:u w:val="single"/>
        </w:rPr>
        <w:t>.</w:t>
      </w:r>
    </w:p>
    <w:p w14:paraId="3765F8C5" w14:textId="77FE6856" w:rsidR="00E512B7" w:rsidRDefault="00E512B7">
      <w:pPr>
        <w:spacing w:after="102" w:line="259" w:lineRule="auto"/>
        <w:ind w:left="0" w:firstLine="0"/>
        <w:rPr>
          <w:b w:val="0"/>
          <w:sz w:val="2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6284"/>
        <w:gridCol w:w="6284"/>
        <w:gridCol w:w="6285"/>
      </w:tblGrid>
      <w:tr w:rsidR="003A12F4" w:rsidRPr="00E67E70" w14:paraId="1ACE44EE" w14:textId="77777777" w:rsidTr="003A12F4">
        <w:tc>
          <w:tcPr>
            <w:tcW w:w="3686" w:type="dxa"/>
          </w:tcPr>
          <w:p w14:paraId="14AAC079" w14:textId="3F1BCA0B" w:rsidR="007A16BF" w:rsidRPr="002C5E0B" w:rsidRDefault="006B6AD4" w:rsidP="007A16BF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Notional dates </w:t>
            </w:r>
            <w:r w:rsidR="003A12F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for Step and associated restriction levels </w:t>
            </w:r>
            <w:r w:rsidRPr="002C5E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subject to new and prevalent Covid-19 infection case numbers.</w:t>
            </w:r>
          </w:p>
        </w:tc>
        <w:tc>
          <w:tcPr>
            <w:tcW w:w="6284" w:type="dxa"/>
          </w:tcPr>
          <w:p w14:paraId="75A6AF5B" w14:textId="732B9B1F" w:rsidR="007A16BF" w:rsidRPr="002C5E0B" w:rsidRDefault="007A16BF" w:rsidP="000612CD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Early stage land development</w:t>
            </w:r>
          </w:p>
        </w:tc>
        <w:tc>
          <w:tcPr>
            <w:tcW w:w="6284" w:type="dxa"/>
          </w:tcPr>
          <w:p w14:paraId="16A22841" w14:textId="184A7060" w:rsidR="007A16BF" w:rsidRPr="002C5E0B" w:rsidRDefault="000612CD" w:rsidP="000612CD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Small-scale construction</w:t>
            </w:r>
          </w:p>
        </w:tc>
        <w:tc>
          <w:tcPr>
            <w:tcW w:w="6285" w:type="dxa"/>
          </w:tcPr>
          <w:p w14:paraId="65EEF232" w14:textId="29971CFC" w:rsidR="007A16BF" w:rsidRPr="002C5E0B" w:rsidRDefault="006B6AD4" w:rsidP="006B6AD4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Large-scale construction</w:t>
            </w:r>
          </w:p>
        </w:tc>
      </w:tr>
      <w:tr w:rsidR="00E67E70" w:rsidRPr="00E67E70" w14:paraId="4C09FD6E" w14:textId="77777777" w:rsidTr="003A12F4">
        <w:trPr>
          <w:trHeight w:val="1355"/>
        </w:trPr>
        <w:tc>
          <w:tcPr>
            <w:tcW w:w="3686" w:type="dxa"/>
            <w:shd w:val="clear" w:color="auto" w:fill="ED7D31"/>
          </w:tcPr>
          <w:p w14:paraId="17A83AAB" w14:textId="77777777" w:rsidR="002C5E0B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  <w:t>Step 1</w:t>
            </w:r>
            <w:r w:rsidRPr="00E67E7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54052C83" w14:textId="77777777" w:rsidR="003A12F4" w:rsidRDefault="003A12F4" w:rsidP="007A16BF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CURRENT FROM 11.59pm 13 SEPTEMBER 2020 FOR: Metro Melbourne</w:t>
            </w:r>
          </w:p>
          <w:p w14:paraId="76370CFD" w14:textId="1445C78D" w:rsidR="007A16BF" w:rsidRPr="001D0EAF" w:rsidRDefault="007A16BF" w:rsidP="003A12F4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1D0EA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Heavily Restricted</w:t>
            </w:r>
          </w:p>
        </w:tc>
        <w:tc>
          <w:tcPr>
            <w:tcW w:w="6284" w:type="dxa"/>
            <w:shd w:val="clear" w:color="auto" w:fill="ED7D31"/>
          </w:tcPr>
          <w:p w14:paraId="2A131AF6" w14:textId="77777777" w:rsidR="007A16BF" w:rsidRPr="007A16BF" w:rsidRDefault="007A16BF" w:rsidP="007A16BF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</w:pPr>
            <w:r w:rsidRPr="007A16BF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Density restrictions of no more than 10 workers per</w:t>
            </w:r>
            <w:r w:rsidRPr="007A16BF">
              <w:rPr>
                <w:rFonts w:ascii="Cambria" w:eastAsia="Times New Roman" w:hAnsi="Cambria" w:cs="Cambria"/>
                <w:b w:val="0"/>
                <w:bCs/>
                <w:color w:val="auto"/>
                <w:sz w:val="18"/>
                <w:szCs w:val="18"/>
              </w:rPr>
              <w:t> </w:t>
            </w:r>
            <w:r w:rsidRPr="007A16BF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hectare</w:t>
            </w:r>
          </w:p>
          <w:p w14:paraId="39FE1893" w14:textId="77777777" w:rsidR="007A16BF" w:rsidRPr="007A16BF" w:rsidRDefault="007A16BF" w:rsidP="007A16BF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7A16BF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​</w:t>
            </w:r>
            <w:r w:rsidRPr="007A16BF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  <w:t>Corporate staff to work remotely and all site offices to apply density quotient</w:t>
            </w:r>
          </w:p>
          <w:p w14:paraId="640184A2" w14:textId="77777777" w:rsidR="007A16BF" w:rsidRPr="007A16BF" w:rsidRDefault="007A16BF" w:rsidP="007A16BF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7A16BF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  <w:t>Manufacturing of building materials will cont</w:t>
            </w:r>
            <w:bookmarkStart w:id="0" w:name="_GoBack"/>
            <w:bookmarkEnd w:id="0"/>
            <w:r w:rsidRPr="007A16BF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  <w:t>inue to operate as permitted industry</w:t>
            </w:r>
            <w:r w:rsidRPr="007A16BF">
              <w:rPr>
                <w:rFonts w:ascii="Cambria" w:eastAsia="Times New Roman" w:hAnsi="Cambria" w:cs="Cambria"/>
                <w:b w:val="0"/>
                <w:color w:val="auto"/>
                <w:sz w:val="18"/>
                <w:szCs w:val="18"/>
              </w:rPr>
              <w:t> </w:t>
            </w:r>
          </w:p>
          <w:p w14:paraId="0152466C" w14:textId="77777777" w:rsidR="000612CD" w:rsidRPr="00E67E70" w:rsidRDefault="000612CD" w:rsidP="007A16BF">
            <w:pPr>
              <w:spacing w:after="102" w:line="259" w:lineRule="auto"/>
              <w:ind w:left="0" w:firstLine="0"/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4094BCC7" w14:textId="77777777" w:rsidR="007A16BF" w:rsidRPr="00E67E70" w:rsidRDefault="007A16BF" w:rsidP="007A16BF">
            <w:pPr>
              <w:spacing w:after="102" w:line="259" w:lineRule="auto"/>
              <w:ind w:left="0" w:firstLine="0"/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</w:pPr>
          </w:p>
          <w:p w14:paraId="38FA3E65" w14:textId="70E29C58" w:rsidR="007A16BF" w:rsidRPr="00E67E70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84" w:type="dxa"/>
            <w:shd w:val="clear" w:color="auto" w:fill="ED7D31"/>
          </w:tcPr>
          <w:p w14:paraId="2712FC58" w14:textId="77777777" w:rsidR="000612CD" w:rsidRPr="000612CD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Cs/>
                <w:color w:val="auto"/>
                <w:sz w:val="18"/>
                <w:szCs w:val="18"/>
              </w:rPr>
              <w:t>No more than five workers per site</w:t>
            </w:r>
          </w:p>
          <w:p w14:paraId="1E678DB8" w14:textId="77777777" w:rsidR="000612CD" w:rsidRPr="000612CD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  <w:t>Corporate staff should work remotely and all site offices to apply density quotient</w:t>
            </w:r>
          </w:p>
          <w:p w14:paraId="797F5335" w14:textId="75B43715" w:rsidR="000612CD" w:rsidRPr="00E67E70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  <w:lang w:val="en-US"/>
              </w:rPr>
              <w:t xml:space="preserve">Client (or agent) contract meetings including document signing, material selection and final inspections conducted remotely where possible. If not reasonably practicable, on-site meetings permitted by appointment only with physical distancing. </w:t>
            </w:r>
          </w:p>
          <w:p w14:paraId="34DF170F" w14:textId="77777777" w:rsidR="000612CD" w:rsidRPr="00E67E70" w:rsidRDefault="000612CD" w:rsidP="000612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eastAsiaTheme="minorEastAsia" w:hAnsi="VIC"/>
                <w:sz w:val="18"/>
                <w:szCs w:val="18"/>
              </w:rPr>
              <w:t>Employer obligation to limit worker movement:</w:t>
            </w:r>
          </w:p>
          <w:p w14:paraId="73388586" w14:textId="7326348A" w:rsidR="007A16BF" w:rsidRPr="00E67E70" w:rsidRDefault="000612CD" w:rsidP="006B6AD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94" w:hanging="283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sz w:val="18"/>
                <w:szCs w:val="18"/>
              </w:rPr>
              <w:t>Specialist contractors</w:t>
            </w:r>
            <w:r w:rsidR="006B6AD4" w:rsidRPr="00E67E70">
              <w:rPr>
                <w:rStyle w:val="FootnoteReference"/>
                <w:rFonts w:ascii="VIC" w:hAnsi="VIC"/>
                <w:sz w:val="18"/>
                <w:szCs w:val="18"/>
              </w:rPr>
              <w:footnoteReference w:id="1"/>
            </w:r>
            <w:r w:rsidRPr="00E67E70">
              <w:rPr>
                <w:rFonts w:ascii="VIC" w:hAnsi="VIC"/>
                <w:sz w:val="18"/>
                <w:szCs w:val="18"/>
              </w:rPr>
              <w:t xml:space="preserve">: up to three sites/week, with a maximum of two per day. </w:t>
            </w:r>
          </w:p>
        </w:tc>
        <w:tc>
          <w:tcPr>
            <w:tcW w:w="6285" w:type="dxa"/>
            <w:shd w:val="clear" w:color="auto" w:fill="ED7D31"/>
          </w:tcPr>
          <w:p w14:paraId="4809BF92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bCs/>
                <w:sz w:val="18"/>
                <w:szCs w:val="18"/>
              </w:rPr>
              <w:t>Limit the daily maximum number of onsite workers to whichever is greater of 25% of their baseline workforce or</w:t>
            </w:r>
            <w:r w:rsidRPr="00E67E70">
              <w:rPr>
                <w:bCs/>
                <w:sz w:val="18"/>
                <w:szCs w:val="18"/>
              </w:rPr>
              <w:t>​</w:t>
            </w:r>
            <w:r w:rsidRPr="00E67E70">
              <w:rPr>
                <w:rFonts w:ascii="VIC" w:hAnsi="VIC"/>
                <w:bCs/>
                <w:sz w:val="18"/>
                <w:szCs w:val="18"/>
              </w:rPr>
              <w:t xml:space="preserve"> 5 workers</w:t>
            </w:r>
          </w:p>
          <w:p w14:paraId="3907193C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hAnsi="VIC"/>
                <w:b w:val="0"/>
                <w:sz w:val="18"/>
                <w:szCs w:val="18"/>
              </w:rPr>
              <w:t>Corporate staff should work remotely and all site offices to apply density quotient</w:t>
            </w:r>
          </w:p>
          <w:p w14:paraId="638B8B5D" w14:textId="1E16333A" w:rsidR="009C23C1" w:rsidRPr="00E67E70" w:rsidRDefault="009C23C1" w:rsidP="009C2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bCs/>
                <w:sz w:val="18"/>
                <w:szCs w:val="18"/>
              </w:rPr>
              <w:t>Employer obligation must limit worker movement.</w:t>
            </w:r>
            <w:r w:rsidRPr="00E67E70">
              <w:rPr>
                <w:rFonts w:ascii="Cambria" w:hAnsi="Cambria" w:cs="Cambria"/>
                <w:bCs/>
                <w:sz w:val="18"/>
                <w:szCs w:val="18"/>
              </w:rPr>
              <w:t> </w:t>
            </w:r>
            <w:r w:rsidRPr="00E67E70">
              <w:rPr>
                <w:bCs/>
                <w:sz w:val="18"/>
                <w:szCs w:val="18"/>
              </w:rPr>
              <w:t>​</w:t>
            </w:r>
          </w:p>
          <w:p w14:paraId="7B6E5F06" w14:textId="77777777" w:rsidR="009C23C1" w:rsidRPr="00E67E70" w:rsidRDefault="009C23C1" w:rsidP="009C23C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94" w:hanging="283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sz w:val="18"/>
                <w:szCs w:val="18"/>
              </w:rPr>
              <w:t>Specialist contractors can move between up to 3 sites/week</w:t>
            </w:r>
          </w:p>
          <w:p w14:paraId="5A6767E7" w14:textId="77777777" w:rsidR="007A16BF" w:rsidRPr="00E67E70" w:rsidRDefault="007A16BF" w:rsidP="009C23C1">
            <w:pPr>
              <w:spacing w:after="0" w:line="240" w:lineRule="auto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  <w:tr w:rsidR="00E67E70" w:rsidRPr="00E67E70" w14:paraId="151A654D" w14:textId="77777777" w:rsidTr="003A12F4">
        <w:tc>
          <w:tcPr>
            <w:tcW w:w="3686" w:type="dxa"/>
            <w:shd w:val="clear" w:color="auto" w:fill="FFC000"/>
          </w:tcPr>
          <w:p w14:paraId="7EF9F583" w14:textId="77777777" w:rsidR="002C5E0B" w:rsidRPr="002C5E0B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  <w:t>Step 2</w:t>
            </w:r>
          </w:p>
          <w:p w14:paraId="750C3310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CURRENT AFTER 28 SEPTEMBER AND:</w:t>
            </w:r>
          </w:p>
          <w:p w14:paraId="2B38C47B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we reach an average daily case rate in metro Melbourne of 30 to 50 cases over a 14 day period with public health advice regarding transmission source.</w:t>
            </w:r>
          </w:p>
          <w:p w14:paraId="2ABF793E" w14:textId="3BD65A0E" w:rsidR="007A16BF" w:rsidRPr="00E67E70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The time period must pass AND the number of cases must be low enough to move to the next step.This is a trigger point for public health review.</w:t>
            </w:r>
          </w:p>
          <w:p w14:paraId="364C501C" w14:textId="0AD664DB" w:rsidR="000612CD" w:rsidRPr="001D0EAF" w:rsidRDefault="000612CD" w:rsidP="003A12F4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1D0EA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Restricted</w:t>
            </w:r>
          </w:p>
        </w:tc>
        <w:tc>
          <w:tcPr>
            <w:tcW w:w="6284" w:type="dxa"/>
            <w:shd w:val="clear" w:color="auto" w:fill="FFC000"/>
          </w:tcPr>
          <w:p w14:paraId="42CDB368" w14:textId="77777777" w:rsidR="000612CD" w:rsidRPr="000612CD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Density restrictions of no more than 20 workers per</w:t>
            </w:r>
            <w:r w:rsidRPr="000612CD">
              <w:rPr>
                <w:rFonts w:ascii="Cambria" w:eastAsia="Times New Roman" w:hAnsi="Cambria" w:cs="Cambria"/>
                <w:b w:val="0"/>
                <w:bCs/>
                <w:color w:val="auto"/>
                <w:sz w:val="18"/>
                <w:szCs w:val="18"/>
              </w:rPr>
              <w:t> </w:t>
            </w:r>
            <w:r w:rsidRPr="000612CD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hectare</w:t>
            </w:r>
          </w:p>
          <w:p w14:paraId="28AA1246" w14:textId="777F6D84" w:rsidR="007A16BF" w:rsidRPr="00E67E70" w:rsidRDefault="007A16BF" w:rsidP="000612CD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84" w:type="dxa"/>
            <w:shd w:val="clear" w:color="auto" w:fill="FFC000"/>
          </w:tcPr>
          <w:p w14:paraId="6DEA06AE" w14:textId="77777777" w:rsidR="000612CD" w:rsidRPr="000612CD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Cs/>
                <w:color w:val="auto"/>
                <w:sz w:val="18"/>
                <w:szCs w:val="18"/>
              </w:rPr>
              <w:t>No more than five workers per site</w:t>
            </w:r>
          </w:p>
          <w:p w14:paraId="460F3786" w14:textId="77777777" w:rsidR="000612CD" w:rsidRPr="000612CD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  <w:t>Corporate staff should work remotely and all site offices to apply density quotient</w:t>
            </w:r>
          </w:p>
          <w:p w14:paraId="50D1E253" w14:textId="7B313748" w:rsidR="000612CD" w:rsidRPr="00E67E70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  <w:lang w:val="en-US"/>
              </w:rPr>
              <w:t xml:space="preserve">Client (or agent) contract meetings including document signing, material selection and final inspections conducted remotely where possible. If not reasonably practicable, on-site meetings permitted by appointment only with physical distancing. </w:t>
            </w:r>
          </w:p>
          <w:p w14:paraId="07DC7E9D" w14:textId="77777777" w:rsidR="006B6AD4" w:rsidRPr="006B6AD4" w:rsidRDefault="006B6AD4" w:rsidP="006B6AD4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6B6AD4">
              <w:rPr>
                <w:rFonts w:ascii="VIC" w:eastAsiaTheme="minorEastAsia" w:hAnsi="VIC" w:cs="Times New Roman"/>
                <w:color w:val="auto"/>
                <w:sz w:val="18"/>
                <w:szCs w:val="18"/>
              </w:rPr>
              <w:t>Employer obligation to limit worker movement:</w:t>
            </w:r>
          </w:p>
          <w:p w14:paraId="1F8BC194" w14:textId="42C5CF16" w:rsidR="007A16BF" w:rsidRPr="00E67E70" w:rsidRDefault="006B6AD4" w:rsidP="00E67E70">
            <w:pPr>
              <w:numPr>
                <w:ilvl w:val="1"/>
                <w:numId w:val="15"/>
              </w:numPr>
              <w:spacing w:after="0" w:line="240" w:lineRule="auto"/>
              <w:ind w:left="594" w:hanging="283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6B6AD4">
              <w:rPr>
                <w:rFonts w:ascii="VIC" w:eastAsia="Times New Roman" w:hAnsi="VIC" w:cs="Times New Roman"/>
                <w:color w:val="auto"/>
                <w:sz w:val="18"/>
                <w:szCs w:val="18"/>
              </w:rPr>
              <w:t xml:space="preserve">Specialist contractors: up to five sites/week, with a maximum of two per day. </w:t>
            </w:r>
          </w:p>
        </w:tc>
        <w:tc>
          <w:tcPr>
            <w:tcW w:w="6285" w:type="dxa"/>
            <w:shd w:val="clear" w:color="auto" w:fill="FFC000"/>
          </w:tcPr>
          <w:p w14:paraId="287C6B1E" w14:textId="77777777" w:rsidR="009C23C1" w:rsidRPr="009C23C1" w:rsidRDefault="009C23C1" w:rsidP="009C23C1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9C23C1">
              <w:rPr>
                <w:rFonts w:ascii="VIC" w:eastAsia="Times New Roman" w:hAnsi="VIC" w:cs="Times New Roman"/>
                <w:bCs/>
                <w:color w:val="auto"/>
                <w:sz w:val="18"/>
                <w:szCs w:val="18"/>
              </w:rPr>
              <w:t>Limit the daily maximum number of onsite workers to whichever is greater of 85% of their baseline workforce or 15 workers</w:t>
            </w:r>
          </w:p>
          <w:p w14:paraId="150516D6" w14:textId="77777777" w:rsidR="009C23C1" w:rsidRPr="00E67E70" w:rsidRDefault="009C23C1" w:rsidP="009C23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bCs/>
                <w:sz w:val="18"/>
                <w:szCs w:val="18"/>
              </w:rPr>
              <w:t>Employer obligation must limit worker movement.</w:t>
            </w:r>
            <w:r w:rsidRPr="00E67E70">
              <w:rPr>
                <w:rFonts w:ascii="Cambria" w:hAnsi="Cambria" w:cs="Cambria"/>
                <w:bCs/>
                <w:sz w:val="18"/>
                <w:szCs w:val="18"/>
              </w:rPr>
              <w:t> ​</w:t>
            </w:r>
          </w:p>
          <w:p w14:paraId="7F49DEA3" w14:textId="77777777" w:rsidR="009C23C1" w:rsidRPr="00E67E70" w:rsidRDefault="009C23C1" w:rsidP="009C23C1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594" w:hanging="283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sz w:val="18"/>
                <w:szCs w:val="18"/>
              </w:rPr>
              <w:t>Specialist contractors can move between up to 3 sites/week.</w:t>
            </w:r>
          </w:p>
          <w:p w14:paraId="4F8DFC71" w14:textId="77777777" w:rsidR="007A16BF" w:rsidRPr="00E67E70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  <w:tr w:rsidR="00E67E70" w:rsidRPr="00E67E70" w14:paraId="438A1877" w14:textId="77777777" w:rsidTr="003A12F4">
        <w:tc>
          <w:tcPr>
            <w:tcW w:w="3686" w:type="dxa"/>
            <w:shd w:val="clear" w:color="auto" w:fill="00B050"/>
          </w:tcPr>
          <w:p w14:paraId="1C6AB087" w14:textId="77777777" w:rsidR="002C5E0B" w:rsidRPr="002C5E0B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  <w:t>Step 3</w:t>
            </w:r>
          </w:p>
          <w:p w14:paraId="19D6FD5D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CURRENT AFTER 26 OCTOBER AND:</w:t>
            </w:r>
          </w:p>
          <w:p w14:paraId="2DC2558E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Daily average number of cases in the last 14 days is less than 5 (state-wide) AND </w:t>
            </w:r>
          </w:p>
          <w:p w14:paraId="13590068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Less than 5 cases with an unknown source in the last 14 days (state-wide total)</w:t>
            </w:r>
          </w:p>
          <w:p w14:paraId="0399FA42" w14:textId="77777777" w:rsid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The time period must pass AND the number of cases must be low enough to move to the next step. This is a trigger point for public health review.</w:t>
            </w:r>
          </w:p>
          <w:p w14:paraId="30AD042E" w14:textId="0C67C269" w:rsidR="000612CD" w:rsidRPr="001D0EAF" w:rsidRDefault="000612CD" w:rsidP="003A12F4">
            <w:pPr>
              <w:spacing w:after="102" w:line="259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1D0EA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Open with a COVIDSafe Plan.</w:t>
            </w:r>
          </w:p>
        </w:tc>
        <w:tc>
          <w:tcPr>
            <w:tcW w:w="6284" w:type="dxa"/>
            <w:shd w:val="clear" w:color="auto" w:fill="00B050"/>
          </w:tcPr>
          <w:p w14:paraId="1A0110CB" w14:textId="77777777" w:rsidR="000612CD" w:rsidRPr="00E67E70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No restrictions on number of workers per site</w:t>
            </w:r>
          </w:p>
          <w:p w14:paraId="78861DF1" w14:textId="7F22E74F" w:rsidR="007A16BF" w:rsidRPr="00E67E70" w:rsidRDefault="000612CD" w:rsidP="000612CD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Workers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encouraged to work from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home and onsite /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office-based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activities to re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sume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with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density quotient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applied,</w:t>
            </w:r>
          </w:p>
        </w:tc>
        <w:tc>
          <w:tcPr>
            <w:tcW w:w="6284" w:type="dxa"/>
            <w:shd w:val="clear" w:color="auto" w:fill="00B050"/>
          </w:tcPr>
          <w:p w14:paraId="54915615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bCs/>
                <w:sz w:val="18"/>
                <w:szCs w:val="18"/>
              </w:rPr>
            </w:pPr>
            <w:r w:rsidRPr="00E67E70">
              <w:rPr>
                <w:rFonts w:ascii="VIC" w:hAnsi="VIC"/>
                <w:bCs/>
                <w:sz w:val="18"/>
                <w:szCs w:val="18"/>
              </w:rPr>
              <w:t>No restrictions on number of workers per site</w:t>
            </w:r>
          </w:p>
          <w:p w14:paraId="66A0507F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hAnsi="VIC"/>
                <w:b w:val="0"/>
                <w:sz w:val="18"/>
                <w:szCs w:val="18"/>
              </w:rPr>
              <w:t>Working from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 xml:space="preserve">home where possible and onsite / office-based activities to resume with density quotient applied </w:t>
            </w:r>
          </w:p>
          <w:p w14:paraId="2F3D156B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hAnsi="VIC"/>
                <w:b w:val="0"/>
                <w:sz w:val="18"/>
                <w:szCs w:val="18"/>
              </w:rPr>
              <w:t>Display homes to open by appointment only with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physical distancing and density quotient for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enclosed spaces, temperature testing and contact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tracing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procedures</w:t>
            </w:r>
          </w:p>
          <w:p w14:paraId="4C37A075" w14:textId="69761440" w:rsidR="007A16BF" w:rsidRPr="00E67E70" w:rsidRDefault="006B6AD4" w:rsidP="00E67E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sz w:val="18"/>
                <w:szCs w:val="18"/>
              </w:rPr>
              <w:t>Construction activities external to a residential premise, such as a garage or rooftop, can now proceed Permit construction activities at owner occupied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sites where is it possible to create a physical barrier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between workers and occupants and / or the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occupier can temporarily vacate the premises for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duration of the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works</w:t>
            </w:r>
          </w:p>
        </w:tc>
        <w:tc>
          <w:tcPr>
            <w:tcW w:w="6285" w:type="dxa"/>
            <w:shd w:val="clear" w:color="auto" w:fill="00B050"/>
          </w:tcPr>
          <w:p w14:paraId="594BC787" w14:textId="77777777" w:rsidR="009C23C1" w:rsidRPr="009C23C1" w:rsidRDefault="009C23C1" w:rsidP="009C23C1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9C23C1">
              <w:rPr>
                <w:rFonts w:ascii="VIC" w:eastAsia="Times New Roman" w:hAnsi="VIC" w:cs="Times New Roman"/>
                <w:bCs/>
                <w:color w:val="auto"/>
                <w:sz w:val="18"/>
                <w:szCs w:val="18"/>
              </w:rPr>
              <w:t>No restrictions on number of workers per site</w:t>
            </w:r>
          </w:p>
          <w:p w14:paraId="4B326D5E" w14:textId="77777777" w:rsidR="009C23C1" w:rsidRPr="009C23C1" w:rsidRDefault="009C23C1" w:rsidP="009C23C1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color w:val="auto"/>
                <w:sz w:val="18"/>
                <w:szCs w:val="18"/>
              </w:rPr>
            </w:pPr>
            <w:r w:rsidRPr="009C23C1">
              <w:rPr>
                <w:rFonts w:ascii="VIC" w:eastAsia="Times New Roman" w:hAnsi="VIC" w:cs="Times New Roman"/>
                <w:color w:val="auto"/>
                <w:sz w:val="18"/>
                <w:szCs w:val="18"/>
              </w:rPr>
              <w:t>Onsite / office-based activities to resume with density quotient applied, working from</w:t>
            </w:r>
            <w:r w:rsidRPr="009C23C1">
              <w:rPr>
                <w:rFonts w:ascii="Cambria" w:eastAsia="Times New Roman" w:hAnsi="Cambria" w:cs="Cambria"/>
                <w:color w:val="auto"/>
                <w:sz w:val="18"/>
                <w:szCs w:val="18"/>
              </w:rPr>
              <w:t> </w:t>
            </w:r>
            <w:r w:rsidRPr="009C23C1">
              <w:rPr>
                <w:rFonts w:ascii="VIC" w:eastAsia="Times New Roman" w:hAnsi="VIC" w:cs="Times New Roman"/>
                <w:color w:val="auto"/>
                <w:sz w:val="18"/>
                <w:szCs w:val="18"/>
              </w:rPr>
              <w:t>home where possible</w:t>
            </w:r>
          </w:p>
          <w:p w14:paraId="0D1396BA" w14:textId="77777777" w:rsidR="007A16BF" w:rsidRPr="00E67E70" w:rsidRDefault="007A16BF" w:rsidP="007A16BF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  <w:tr w:rsidR="00E67E70" w:rsidRPr="00E67E70" w14:paraId="06C5F82F" w14:textId="77777777" w:rsidTr="003A12F4">
        <w:tc>
          <w:tcPr>
            <w:tcW w:w="3686" w:type="dxa"/>
            <w:shd w:val="clear" w:color="auto" w:fill="00B050"/>
          </w:tcPr>
          <w:p w14:paraId="46E00D05" w14:textId="77777777" w:rsidR="002C5E0B" w:rsidRPr="002C5E0B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  <w:t>Step 4 (Last Step)</w:t>
            </w:r>
          </w:p>
          <w:p w14:paraId="777AD37C" w14:textId="4F9AD93B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CURRENT AFTER 23 NOVEMBER AND </w:t>
            </w: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WHEN: There are no new cases for 14 days. </w:t>
            </w:r>
          </w:p>
          <w:p w14:paraId="3E1031AF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6FD5100A" w14:textId="77777777" w:rsid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The time period must pass AND the number of cases must be low enough to move to the next step. This is a trigger point for public health review.</w:t>
            </w:r>
          </w:p>
          <w:p w14:paraId="18C6575C" w14:textId="040C8849" w:rsidR="006B6AD4" w:rsidRPr="001D0EAF" w:rsidRDefault="006B6AD4" w:rsidP="003A12F4">
            <w:pPr>
              <w:spacing w:after="102" w:line="259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1D0EAF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Open with a COVIDSafe Plan.</w:t>
            </w:r>
          </w:p>
        </w:tc>
        <w:tc>
          <w:tcPr>
            <w:tcW w:w="6284" w:type="dxa"/>
            <w:shd w:val="clear" w:color="auto" w:fill="00B050"/>
          </w:tcPr>
          <w:p w14:paraId="71B80165" w14:textId="77777777" w:rsidR="006B6AD4" w:rsidRPr="00E67E70" w:rsidRDefault="006B6AD4" w:rsidP="006B6AD4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0612CD">
              <w:rPr>
                <w:rFonts w:ascii="VIC" w:eastAsia="Times New Roman" w:hAnsi="VIC" w:cs="Times New Roman"/>
                <w:b w:val="0"/>
                <w:bCs/>
                <w:color w:val="auto"/>
                <w:sz w:val="18"/>
                <w:szCs w:val="18"/>
              </w:rPr>
              <w:t>No restrictions on number of workers per site</w:t>
            </w:r>
          </w:p>
          <w:p w14:paraId="0C121FB2" w14:textId="39F7C7C7" w:rsidR="006B6AD4" w:rsidRPr="00E67E70" w:rsidRDefault="006B6AD4" w:rsidP="006B6AD4">
            <w:pPr>
              <w:numPr>
                <w:ilvl w:val="0"/>
                <w:numId w:val="15"/>
              </w:numPr>
              <w:spacing w:after="0" w:line="240" w:lineRule="auto"/>
              <w:ind w:left="217" w:hanging="217"/>
              <w:contextualSpacing/>
              <w:rPr>
                <w:rFonts w:ascii="VIC" w:eastAsia="Times New Roman" w:hAnsi="VIC" w:cs="Times New Roman"/>
                <w:b w:val="0"/>
                <w:color w:val="auto"/>
                <w:sz w:val="18"/>
                <w:szCs w:val="18"/>
              </w:rPr>
            </w:pP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Workers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encouraged to work from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home and onsite /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office-based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activities to resume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with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density quotient</w:t>
            </w:r>
            <w:r w:rsidRPr="00E67E70">
              <w:rPr>
                <w:rFonts w:ascii="Cambria" w:eastAsiaTheme="minorHAnsi" w:hAnsi="Cambria" w:cs="Cambria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E67E70">
              <w:rPr>
                <w:rFonts w:ascii="VIC" w:eastAsiaTheme="minorHAnsi" w:hAnsi="VIC" w:cstheme="minorBidi"/>
                <w:b w:val="0"/>
                <w:color w:val="auto"/>
                <w:sz w:val="18"/>
                <w:szCs w:val="18"/>
                <w:lang w:eastAsia="en-US"/>
              </w:rPr>
              <w:t>applied,</w:t>
            </w:r>
          </w:p>
        </w:tc>
        <w:tc>
          <w:tcPr>
            <w:tcW w:w="6284" w:type="dxa"/>
            <w:shd w:val="clear" w:color="auto" w:fill="00B050"/>
          </w:tcPr>
          <w:p w14:paraId="261DC5E8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bCs/>
                <w:sz w:val="18"/>
                <w:szCs w:val="18"/>
              </w:rPr>
            </w:pPr>
            <w:r w:rsidRPr="00E67E70">
              <w:rPr>
                <w:rFonts w:ascii="VIC" w:hAnsi="VIC"/>
                <w:bCs/>
                <w:sz w:val="18"/>
                <w:szCs w:val="18"/>
              </w:rPr>
              <w:t>No restrictions on number of workers per site</w:t>
            </w:r>
          </w:p>
          <w:p w14:paraId="5F3E2B86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hAnsi="VIC"/>
                <w:b w:val="0"/>
                <w:sz w:val="18"/>
                <w:szCs w:val="18"/>
              </w:rPr>
              <w:t>Working from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 xml:space="preserve">home where possible and onsite / office-based activities to resume with density quotient applied </w:t>
            </w:r>
          </w:p>
          <w:p w14:paraId="6F189023" w14:textId="77777777" w:rsidR="006B6AD4" w:rsidRPr="00E67E70" w:rsidRDefault="006B6AD4" w:rsidP="006B6A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b w:val="0"/>
                <w:sz w:val="18"/>
                <w:szCs w:val="18"/>
              </w:rPr>
            </w:pPr>
            <w:r w:rsidRPr="00E67E70">
              <w:rPr>
                <w:rFonts w:ascii="VIC" w:hAnsi="VIC"/>
                <w:b w:val="0"/>
                <w:sz w:val="18"/>
                <w:szCs w:val="18"/>
              </w:rPr>
              <w:t>Display homes to open by appointment only with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physical distancing and density quotient for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enclosed spaces, temperature testing and contact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tracing</w:t>
            </w:r>
            <w:r w:rsidRPr="00E67E70">
              <w:rPr>
                <w:rFonts w:ascii="Cambria" w:hAnsi="Cambria" w:cs="Cambria"/>
                <w:b w:val="0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b w:val="0"/>
                <w:sz w:val="18"/>
                <w:szCs w:val="18"/>
              </w:rPr>
              <w:t>procedures</w:t>
            </w:r>
          </w:p>
          <w:p w14:paraId="2E5696C7" w14:textId="43CCB59A" w:rsidR="006B6AD4" w:rsidRPr="00E67E70" w:rsidRDefault="006B6AD4" w:rsidP="00E67E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7" w:hanging="217"/>
              <w:rPr>
                <w:rFonts w:ascii="VIC" w:hAnsi="VIC"/>
                <w:sz w:val="18"/>
                <w:szCs w:val="18"/>
              </w:rPr>
            </w:pPr>
            <w:r w:rsidRPr="00E67E70">
              <w:rPr>
                <w:rFonts w:ascii="VIC" w:hAnsi="VIC"/>
                <w:sz w:val="18"/>
                <w:szCs w:val="18"/>
              </w:rPr>
              <w:t>Construction activities external to a residential premise, such as a garage or rooftop, can now proceed Permit construction activities at owner occupied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sites where is it possible to create a physical barrier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between workers and occupants and / or the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occupier can temporarily vacate the premises for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duration of the</w:t>
            </w:r>
            <w:r w:rsidRPr="00E67E70">
              <w:rPr>
                <w:rFonts w:ascii="Cambria" w:hAnsi="Cambria" w:cs="Cambria"/>
                <w:sz w:val="18"/>
                <w:szCs w:val="18"/>
              </w:rPr>
              <w:t> </w:t>
            </w:r>
            <w:r w:rsidRPr="00E67E70">
              <w:rPr>
                <w:rFonts w:ascii="VIC" w:hAnsi="VIC"/>
                <w:sz w:val="18"/>
                <w:szCs w:val="18"/>
              </w:rPr>
              <w:t>works</w:t>
            </w:r>
          </w:p>
        </w:tc>
        <w:tc>
          <w:tcPr>
            <w:tcW w:w="6285" w:type="dxa"/>
            <w:shd w:val="clear" w:color="auto" w:fill="00B050"/>
          </w:tcPr>
          <w:p w14:paraId="4AE32317" w14:textId="77777777" w:rsidR="006B6AD4" w:rsidRPr="00E67E70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  <w:tr w:rsidR="002C5E0B" w:rsidRPr="00E67E70" w14:paraId="0113FCC5" w14:textId="77777777" w:rsidTr="003A12F4">
        <w:tc>
          <w:tcPr>
            <w:tcW w:w="3686" w:type="dxa"/>
            <w:shd w:val="clear" w:color="auto" w:fill="00B050"/>
          </w:tcPr>
          <w:p w14:paraId="0B1D6E1F" w14:textId="5BD54053" w:rsidR="006B6AD4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</w:pPr>
            <w:r w:rsidRPr="002C5E0B">
              <w:rPr>
                <w:rFonts w:eastAsiaTheme="minorHAnsi"/>
                <w:color w:val="auto"/>
                <w:sz w:val="24"/>
                <w:szCs w:val="24"/>
                <w:u w:val="single"/>
                <w:lang w:eastAsia="en-US"/>
              </w:rPr>
              <w:t>Covid Normal</w:t>
            </w:r>
          </w:p>
          <w:p w14:paraId="744D9EFC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CURRENT WHEN: There are no new cases for 28 days and no active cases (state-wide) and no outbreaks of concern in other States and Territories.</w:t>
            </w:r>
          </w:p>
          <w:p w14:paraId="60D927F2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14:paraId="6E85F881" w14:textId="77777777" w:rsidR="003A12F4" w:rsidRPr="003A12F4" w:rsidRDefault="003A12F4" w:rsidP="003A12F4">
            <w:pPr>
              <w:spacing w:after="102" w:line="259" w:lineRule="auto"/>
              <w:ind w:left="0" w:firstLine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3A12F4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This is a trigger point for public health review.</w:t>
            </w:r>
          </w:p>
          <w:p w14:paraId="22E8A76F" w14:textId="3CED1686" w:rsidR="006B6AD4" w:rsidRPr="002C5E0B" w:rsidRDefault="006B6AD4" w:rsidP="003A12F4">
            <w:pPr>
              <w:spacing w:after="102" w:line="259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2C5E0B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Open with a COVIDSafe Plan. No density quotient.</w:t>
            </w:r>
          </w:p>
        </w:tc>
        <w:tc>
          <w:tcPr>
            <w:tcW w:w="6284" w:type="dxa"/>
            <w:shd w:val="clear" w:color="auto" w:fill="00B050"/>
          </w:tcPr>
          <w:p w14:paraId="526C2045" w14:textId="77777777" w:rsidR="006B6AD4" w:rsidRPr="00E67E70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84" w:type="dxa"/>
            <w:shd w:val="clear" w:color="auto" w:fill="00B050"/>
          </w:tcPr>
          <w:p w14:paraId="191ED3D5" w14:textId="77777777" w:rsidR="006B6AD4" w:rsidRPr="00E67E70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285" w:type="dxa"/>
            <w:shd w:val="clear" w:color="auto" w:fill="00B050"/>
          </w:tcPr>
          <w:p w14:paraId="4EB140E9" w14:textId="77777777" w:rsidR="006B6AD4" w:rsidRPr="00E67E70" w:rsidRDefault="006B6AD4" w:rsidP="006B6AD4">
            <w:pPr>
              <w:spacing w:after="102" w:line="259" w:lineRule="auto"/>
              <w:ind w:left="0" w:firstLine="0"/>
              <w:rPr>
                <w:rFonts w:eastAsia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65F520B" w14:textId="7B7B020F" w:rsidR="00E512B7" w:rsidRPr="00E67E70" w:rsidRDefault="00E512B7" w:rsidP="007A16BF">
      <w:pPr>
        <w:spacing w:after="102" w:line="259" w:lineRule="auto"/>
        <w:ind w:left="0" w:firstLine="0"/>
        <w:rPr>
          <w:rFonts w:eastAsiaTheme="minorHAnsi"/>
          <w:b w:val="0"/>
          <w:color w:val="auto"/>
          <w:sz w:val="18"/>
          <w:szCs w:val="18"/>
          <w:lang w:eastAsia="en-US"/>
        </w:rPr>
      </w:pPr>
    </w:p>
    <w:p w14:paraId="5743708C" w14:textId="77777777" w:rsidR="00E512B7" w:rsidRPr="00E67E70" w:rsidRDefault="00E512B7" w:rsidP="00E512B7">
      <w:pPr>
        <w:rPr>
          <w:rFonts w:eastAsiaTheme="minorHAnsi"/>
          <w:b w:val="0"/>
          <w:color w:val="auto"/>
          <w:sz w:val="18"/>
          <w:szCs w:val="18"/>
          <w:lang w:eastAsia="en-US"/>
        </w:rPr>
      </w:pPr>
    </w:p>
    <w:sectPr w:rsidR="00E512B7" w:rsidRPr="00E67E70" w:rsidSect="006B6AD4">
      <w:headerReference w:type="default" r:id="rId8"/>
      <w:footerReference w:type="even" r:id="rId9"/>
      <w:footerReference w:type="default" r:id="rId10"/>
      <w:footerReference w:type="first" r:id="rId11"/>
      <w:pgSz w:w="23808" w:h="16840" w:orient="landscape" w:code="8"/>
      <w:pgMar w:top="1389" w:right="709" w:bottom="1440" w:left="1134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CF5B" w14:textId="77777777" w:rsidR="00205D98" w:rsidRDefault="00205D98">
      <w:pPr>
        <w:spacing w:after="0" w:line="240" w:lineRule="auto"/>
      </w:pPr>
      <w:r>
        <w:separator/>
      </w:r>
    </w:p>
  </w:endnote>
  <w:endnote w:type="continuationSeparator" w:id="0">
    <w:p w14:paraId="241EB2CA" w14:textId="77777777" w:rsidR="00205D98" w:rsidRDefault="0020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4352" w14:textId="77777777" w:rsidR="006B69F3" w:rsidRDefault="00544039">
    <w:pPr>
      <w:spacing w:after="0" w:line="259" w:lineRule="auto"/>
      <w:ind w:left="0" w:right="-17" w:firstLine="0"/>
      <w:jc w:val="right"/>
    </w:pPr>
    <w:r>
      <w:rPr>
        <w:b w:val="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14:paraId="2DE9765C" w14:textId="77777777" w:rsidR="006B69F3" w:rsidRDefault="00544039">
    <w:pPr>
      <w:spacing w:after="0" w:line="259" w:lineRule="auto"/>
      <w:ind w:left="19" w:firstLine="0"/>
    </w:pP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1E84" w14:textId="73B9288B" w:rsidR="006B69F3" w:rsidRDefault="006E6D61">
    <w:pPr>
      <w:spacing w:after="0" w:line="259" w:lineRule="auto"/>
      <w:ind w:left="0" w:right="-17" w:firstLine="0"/>
      <w:jc w:val="right"/>
    </w:pPr>
    <w:r>
      <w:rPr>
        <w:b w:val="0"/>
      </w:rPr>
      <w:fldChar w:fldCharType="begin"/>
    </w:r>
    <w:r>
      <w:rPr>
        <w:b w:val="0"/>
      </w:rPr>
      <w:instrText xml:space="preserve"> FILENAME  \* Lower  \* MERGEFORMAT </w:instrText>
    </w:r>
    <w:r>
      <w:rPr>
        <w:b w:val="0"/>
      </w:rPr>
      <w:fldChar w:fldCharType="separate"/>
    </w:r>
    <w:r>
      <w:rPr>
        <w:b w:val="0"/>
        <w:noProof/>
      </w:rPr>
      <w:t>analysis_vic_roadmap_20200907_v1_pz</w:t>
    </w:r>
    <w:r>
      <w:rPr>
        <w:b w:val="0"/>
      </w:rPr>
      <w:fldChar w:fldCharType="end"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 w:rsidR="00544039">
      <w:rPr>
        <w:b w:val="0"/>
      </w:rPr>
      <w:t xml:space="preserve">Page </w:t>
    </w:r>
    <w:r w:rsidR="00544039">
      <w:fldChar w:fldCharType="begin"/>
    </w:r>
    <w:r w:rsidR="00544039">
      <w:instrText xml:space="preserve"> PAGE   \* MERGEFORMAT </w:instrText>
    </w:r>
    <w:r w:rsidR="00544039">
      <w:fldChar w:fldCharType="separate"/>
    </w:r>
    <w:r w:rsidR="00544039">
      <w:rPr>
        <w:b w:val="0"/>
      </w:rPr>
      <w:t>1</w:t>
    </w:r>
    <w:r w:rsidR="00544039">
      <w:rPr>
        <w:b w:val="0"/>
      </w:rPr>
      <w:fldChar w:fldCharType="end"/>
    </w:r>
    <w:r w:rsidR="00544039">
      <w:rPr>
        <w:b w:val="0"/>
      </w:rPr>
      <w:t xml:space="preserve"> </w:t>
    </w:r>
  </w:p>
  <w:p w14:paraId="063F8D31" w14:textId="77777777" w:rsidR="006B69F3" w:rsidRDefault="00544039">
    <w:pPr>
      <w:spacing w:after="0" w:line="259" w:lineRule="auto"/>
      <w:ind w:left="19" w:firstLine="0"/>
    </w:pPr>
    <w:r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D263" w14:textId="77777777" w:rsidR="006B69F3" w:rsidRDefault="00544039">
    <w:pPr>
      <w:spacing w:after="0" w:line="259" w:lineRule="auto"/>
      <w:ind w:left="0" w:right="-17" w:firstLine="0"/>
      <w:jc w:val="right"/>
    </w:pPr>
    <w:r>
      <w:rPr>
        <w:b w:val="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14:paraId="75490929" w14:textId="77777777" w:rsidR="006B69F3" w:rsidRDefault="00544039">
    <w:pPr>
      <w:spacing w:after="0" w:line="259" w:lineRule="auto"/>
      <w:ind w:left="19" w:firstLine="0"/>
    </w:pP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9233" w14:textId="77777777" w:rsidR="00205D98" w:rsidRDefault="00205D98">
      <w:pPr>
        <w:spacing w:after="0" w:line="247" w:lineRule="auto"/>
        <w:ind w:left="0" w:firstLine="19"/>
      </w:pPr>
      <w:r>
        <w:separator/>
      </w:r>
    </w:p>
  </w:footnote>
  <w:footnote w:type="continuationSeparator" w:id="0">
    <w:p w14:paraId="382DCD71" w14:textId="77777777" w:rsidR="00205D98" w:rsidRDefault="00205D98">
      <w:pPr>
        <w:spacing w:after="0" w:line="247" w:lineRule="auto"/>
        <w:ind w:left="0" w:firstLine="19"/>
      </w:pPr>
      <w:r>
        <w:continuationSeparator/>
      </w:r>
    </w:p>
  </w:footnote>
  <w:footnote w:id="1">
    <w:p w14:paraId="1BBA8F1E" w14:textId="22382BD0" w:rsidR="006B6AD4" w:rsidRDefault="006B6AD4">
      <w:pPr>
        <w:pStyle w:val="FootnoteText"/>
      </w:pPr>
      <w:r>
        <w:rPr>
          <w:rStyle w:val="FootnoteReference"/>
        </w:rPr>
        <w:footnoteRef/>
      </w:r>
      <w:r>
        <w:t xml:space="preserve"> Under the current Directions </w:t>
      </w:r>
      <w:r w:rsidRPr="006B6AD4">
        <w:t>Workplace (Additional Industry Obligations Directions) when the current Directions (No. 4)</w:t>
      </w:r>
      <w:r>
        <w:t xml:space="preserve"> which cease on September 13</w:t>
      </w:r>
      <w:r w:rsidRPr="006B6AD4">
        <w:rPr>
          <w:vertAlign w:val="superscript"/>
        </w:rPr>
        <w:t>th</w:t>
      </w:r>
      <w:r>
        <w:t xml:space="preserve"> Architects are not named as “Specialist Contractors”.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0B6D" w14:textId="44E54ADE" w:rsidR="009B1A13" w:rsidRDefault="009B1A13">
    <w:pPr>
      <w:pStyle w:val="Header"/>
    </w:pPr>
    <w:r>
      <w:rPr>
        <w:rFonts w:ascii="Arial" w:hAnsi="Arial" w:cs="Arial"/>
        <w:noProof/>
        <w:sz w:val="27"/>
        <w:szCs w:val="27"/>
      </w:rPr>
      <w:drawing>
        <wp:anchor distT="0" distB="0" distL="114300" distR="114300" simplePos="0" relativeHeight="251659264" behindDoc="1" locked="0" layoutInCell="1" allowOverlap="1" wp14:anchorId="2B7604E9" wp14:editId="26F9807C">
          <wp:simplePos x="0" y="0"/>
          <wp:positionH relativeFrom="column">
            <wp:posOffset>-533400</wp:posOffset>
          </wp:positionH>
          <wp:positionV relativeFrom="paragraph">
            <wp:posOffset>-276225</wp:posOffset>
          </wp:positionV>
          <wp:extent cx="1790700" cy="457200"/>
          <wp:effectExtent l="0" t="0" r="0" b="0"/>
          <wp:wrapTight wrapText="bothSides">
            <wp:wrapPolygon edited="0">
              <wp:start x="11719" y="0"/>
              <wp:lineTo x="2298" y="0"/>
              <wp:lineTo x="1149" y="1800"/>
              <wp:lineTo x="1149" y="14400"/>
              <wp:lineTo x="0" y="18900"/>
              <wp:lineTo x="0" y="20700"/>
              <wp:lineTo x="20681" y="20700"/>
              <wp:lineTo x="21370" y="13500"/>
              <wp:lineTo x="21370" y="0"/>
              <wp:lineTo x="19072" y="0"/>
              <wp:lineTo x="11719" y="0"/>
            </wp:wrapPolygon>
          </wp:wrapTight>
          <wp:docPr id="2" name="Picture 2" descr="cid:image003.png@01D6083A.B2A32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083A.B2A325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224"/>
    <w:multiLevelType w:val="hybridMultilevel"/>
    <w:tmpl w:val="1E4CD156"/>
    <w:lvl w:ilvl="0" w:tplc="6F1AC93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B066">
      <w:start w:val="1"/>
      <w:numFmt w:val="bullet"/>
      <w:lvlText w:val="o"/>
      <w:lvlJc w:val="left"/>
      <w:pPr>
        <w:ind w:left="1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EC4FA">
      <w:start w:val="1"/>
      <w:numFmt w:val="bullet"/>
      <w:lvlText w:val="▪"/>
      <w:lvlJc w:val="left"/>
      <w:pPr>
        <w:ind w:left="1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66248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864B2">
      <w:start w:val="1"/>
      <w:numFmt w:val="bullet"/>
      <w:lvlText w:val="o"/>
      <w:lvlJc w:val="left"/>
      <w:pPr>
        <w:ind w:left="3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67442">
      <w:start w:val="1"/>
      <w:numFmt w:val="bullet"/>
      <w:lvlText w:val="▪"/>
      <w:lvlJc w:val="left"/>
      <w:pPr>
        <w:ind w:left="3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CD2A8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6C490">
      <w:start w:val="1"/>
      <w:numFmt w:val="bullet"/>
      <w:lvlText w:val="o"/>
      <w:lvlJc w:val="left"/>
      <w:pPr>
        <w:ind w:left="5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8CAE0">
      <w:start w:val="1"/>
      <w:numFmt w:val="bullet"/>
      <w:lvlText w:val="▪"/>
      <w:lvlJc w:val="left"/>
      <w:pPr>
        <w:ind w:left="6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80AB8"/>
    <w:multiLevelType w:val="hybridMultilevel"/>
    <w:tmpl w:val="6E76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7CF"/>
    <w:multiLevelType w:val="hybridMultilevel"/>
    <w:tmpl w:val="92CC0CA4"/>
    <w:lvl w:ilvl="0" w:tplc="354040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399"/>
    <w:multiLevelType w:val="hybridMultilevel"/>
    <w:tmpl w:val="AB4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1301"/>
    <w:multiLevelType w:val="hybridMultilevel"/>
    <w:tmpl w:val="9E362EF0"/>
    <w:lvl w:ilvl="0" w:tplc="2EA6077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D4C0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D6A2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48AD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B217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D1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7CBD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6409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BC51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35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9041D"/>
    <w:multiLevelType w:val="hybridMultilevel"/>
    <w:tmpl w:val="189465D4"/>
    <w:lvl w:ilvl="0" w:tplc="F89AB04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82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89D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AB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033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62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E9D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0DE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280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062D2"/>
    <w:multiLevelType w:val="hybridMultilevel"/>
    <w:tmpl w:val="B24A3CE0"/>
    <w:lvl w:ilvl="0" w:tplc="B83A2B1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459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E4D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479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4C1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6A1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6F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03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18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A459A1"/>
    <w:multiLevelType w:val="hybridMultilevel"/>
    <w:tmpl w:val="79263D1A"/>
    <w:lvl w:ilvl="0" w:tplc="9EF6E4C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01B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075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0A2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ED9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296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C1D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2E1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2A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0D7E99"/>
    <w:multiLevelType w:val="hybridMultilevel"/>
    <w:tmpl w:val="1DE071D6"/>
    <w:lvl w:ilvl="0" w:tplc="90824FA0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EC162">
      <w:start w:val="1"/>
      <w:numFmt w:val="bullet"/>
      <w:lvlText w:val="o"/>
      <w:lvlJc w:val="left"/>
      <w:pPr>
        <w:ind w:left="1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2ABCC">
      <w:start w:val="1"/>
      <w:numFmt w:val="bullet"/>
      <w:lvlText w:val="▪"/>
      <w:lvlJc w:val="left"/>
      <w:pPr>
        <w:ind w:left="2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EB1D8">
      <w:start w:val="1"/>
      <w:numFmt w:val="bullet"/>
      <w:lvlText w:val="•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65A8">
      <w:start w:val="1"/>
      <w:numFmt w:val="bullet"/>
      <w:lvlText w:val="o"/>
      <w:lvlJc w:val="left"/>
      <w:pPr>
        <w:ind w:left="3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4BD2">
      <w:start w:val="1"/>
      <w:numFmt w:val="bullet"/>
      <w:lvlText w:val="▪"/>
      <w:lvlJc w:val="left"/>
      <w:pPr>
        <w:ind w:left="4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E12FA">
      <w:start w:val="1"/>
      <w:numFmt w:val="bullet"/>
      <w:lvlText w:val="•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A6FE4">
      <w:start w:val="1"/>
      <w:numFmt w:val="bullet"/>
      <w:lvlText w:val="o"/>
      <w:lvlJc w:val="left"/>
      <w:pPr>
        <w:ind w:left="5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4E09A">
      <w:start w:val="1"/>
      <w:numFmt w:val="bullet"/>
      <w:lvlText w:val="▪"/>
      <w:lvlJc w:val="left"/>
      <w:pPr>
        <w:ind w:left="6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D66F45"/>
    <w:multiLevelType w:val="multilevel"/>
    <w:tmpl w:val="E2F2F79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AC48D1"/>
    <w:multiLevelType w:val="hybridMultilevel"/>
    <w:tmpl w:val="8AC2D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0299"/>
    <w:multiLevelType w:val="hybridMultilevel"/>
    <w:tmpl w:val="98DEFDE4"/>
    <w:lvl w:ilvl="0" w:tplc="A22ACC1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26E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6B5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2F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E02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04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AF8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A60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4C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360E1C"/>
    <w:multiLevelType w:val="hybridMultilevel"/>
    <w:tmpl w:val="12C6724C"/>
    <w:lvl w:ilvl="0" w:tplc="3D100DC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06D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0F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876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097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CC6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67E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20A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47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6B31D9"/>
    <w:multiLevelType w:val="hybridMultilevel"/>
    <w:tmpl w:val="09AEDDC6"/>
    <w:lvl w:ilvl="0" w:tplc="7B46B5B6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A1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6B1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2F2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0AB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EEF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0D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02A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CA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3B4EAF"/>
    <w:multiLevelType w:val="hybridMultilevel"/>
    <w:tmpl w:val="B922DF96"/>
    <w:lvl w:ilvl="0" w:tplc="354040D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B688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802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8B5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B9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C83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E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28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C8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0AD9"/>
    <w:multiLevelType w:val="hybridMultilevel"/>
    <w:tmpl w:val="BA04B5E4"/>
    <w:lvl w:ilvl="0" w:tplc="7A78C6F2">
      <w:start w:val="1"/>
      <w:numFmt w:val="bullet"/>
      <w:lvlText w:val="•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E04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8E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0D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6F1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AB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077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03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898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F3"/>
    <w:rsid w:val="00020D02"/>
    <w:rsid w:val="00033F2C"/>
    <w:rsid w:val="000612CD"/>
    <w:rsid w:val="00084073"/>
    <w:rsid w:val="00173279"/>
    <w:rsid w:val="00182E8E"/>
    <w:rsid w:val="001B2506"/>
    <w:rsid w:val="001D0EAF"/>
    <w:rsid w:val="001F1705"/>
    <w:rsid w:val="00200AB4"/>
    <w:rsid w:val="00205D98"/>
    <w:rsid w:val="00230F06"/>
    <w:rsid w:val="00265DD4"/>
    <w:rsid w:val="00290FB7"/>
    <w:rsid w:val="002C5E0B"/>
    <w:rsid w:val="003252A2"/>
    <w:rsid w:val="003A12F4"/>
    <w:rsid w:val="003B0AE9"/>
    <w:rsid w:val="00424EBC"/>
    <w:rsid w:val="00476B09"/>
    <w:rsid w:val="004918F7"/>
    <w:rsid w:val="004B63DE"/>
    <w:rsid w:val="00544039"/>
    <w:rsid w:val="006B69F3"/>
    <w:rsid w:val="006B6AD4"/>
    <w:rsid w:val="006C288C"/>
    <w:rsid w:val="006E6D61"/>
    <w:rsid w:val="007A16BF"/>
    <w:rsid w:val="007D4D30"/>
    <w:rsid w:val="00874221"/>
    <w:rsid w:val="008E426C"/>
    <w:rsid w:val="009409BD"/>
    <w:rsid w:val="009B1A13"/>
    <w:rsid w:val="009C23C1"/>
    <w:rsid w:val="009C7AE9"/>
    <w:rsid w:val="00A224CE"/>
    <w:rsid w:val="00A26E72"/>
    <w:rsid w:val="00A3560B"/>
    <w:rsid w:val="00A55F14"/>
    <w:rsid w:val="00AA3A9F"/>
    <w:rsid w:val="00AE41C0"/>
    <w:rsid w:val="00AF77F8"/>
    <w:rsid w:val="00B23578"/>
    <w:rsid w:val="00B575BA"/>
    <w:rsid w:val="00C416E8"/>
    <w:rsid w:val="00CB63CC"/>
    <w:rsid w:val="00D02823"/>
    <w:rsid w:val="00D67179"/>
    <w:rsid w:val="00DF74F3"/>
    <w:rsid w:val="00E512B7"/>
    <w:rsid w:val="00E67E70"/>
    <w:rsid w:val="00EF52D2"/>
    <w:rsid w:val="00F30B86"/>
    <w:rsid w:val="00F33C90"/>
    <w:rsid w:val="00F516FB"/>
    <w:rsid w:val="00FA4FC0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3EB8E"/>
  <w15:docId w15:val="{2F033E52-DEF0-4C6D-871B-8A97107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61" w:lineRule="auto"/>
      <w:ind w:left="29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2"/>
      </w:numPr>
      <w:spacing w:after="113"/>
      <w:ind w:left="29" w:hanging="10"/>
      <w:outlineLvl w:val="0"/>
    </w:pPr>
    <w:rPr>
      <w:rFonts w:ascii="Calibri" w:eastAsia="Calibri" w:hAnsi="Calibri" w:cs="Calibri"/>
      <w:b/>
      <w:color w:val="2C354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after="110" w:line="261" w:lineRule="auto"/>
      <w:ind w:left="29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C3543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  <w:ind w:left="9" w:firstLine="9"/>
    </w:pPr>
    <w:rPr>
      <w:rFonts w:ascii="Calibri" w:eastAsia="Calibri" w:hAnsi="Calibri" w:cs="Calibri"/>
      <w:b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paragraph" w:styleId="TOC1">
    <w:name w:val="toc 1"/>
    <w:hidden/>
    <w:pPr>
      <w:spacing w:after="114"/>
      <w:ind w:left="25" w:right="58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14"/>
      <w:ind w:left="246" w:right="58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0"/>
    <w:rPr>
      <w:rFonts w:ascii="Segoe UI" w:eastAsia="Calibri" w:hAnsi="Segoe UI" w:cs="Segoe UI"/>
      <w:b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B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6E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6E72"/>
    <w:rPr>
      <w:rFonts w:ascii="Calibri" w:eastAsia="Calibri" w:hAnsi="Calibri" w:cs="Calibri"/>
      <w:b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6E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705"/>
    <w:rPr>
      <w:rFonts w:ascii="Calibri" w:eastAsia="Calibri" w:hAnsi="Calibri" w:cs="Calibri"/>
      <w:b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7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E8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1B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F99.121BE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1DDF-610D-44E0-9E3D-37472950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Hardwicke</dc:creator>
  <cp:keywords/>
  <cp:lastModifiedBy>Paul Zanatta</cp:lastModifiedBy>
  <cp:revision>6</cp:revision>
  <dcterms:created xsi:type="dcterms:W3CDTF">2020-09-08T01:15:00Z</dcterms:created>
  <dcterms:modified xsi:type="dcterms:W3CDTF">2020-09-08T01:32:00Z</dcterms:modified>
</cp:coreProperties>
</file>