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87AC3" w14:textId="68E2DB2B" w:rsidR="00E7094F" w:rsidRPr="00E7094F" w:rsidRDefault="00E7094F" w:rsidP="006C498D">
      <w:pPr>
        <w:ind w:firstLine="720"/>
        <w:jc w:val="center"/>
        <w:rPr>
          <w:rFonts w:ascii="Verdana" w:hAnsi="Verdana"/>
          <w:sz w:val="20"/>
          <w:szCs w:val="20"/>
        </w:rPr>
      </w:pP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sidRPr="00E7094F">
        <w:rPr>
          <w:rFonts w:ascii="Verdana" w:hAnsi="Verdana"/>
          <w:sz w:val="20"/>
          <w:szCs w:val="20"/>
        </w:rPr>
        <w:t>14 September 2022</w:t>
      </w:r>
    </w:p>
    <w:p w14:paraId="51DCD555" w14:textId="77777777" w:rsidR="00E7094F" w:rsidRDefault="00E7094F" w:rsidP="006C498D">
      <w:pPr>
        <w:ind w:firstLine="720"/>
        <w:jc w:val="center"/>
        <w:rPr>
          <w:rFonts w:ascii="Verdana" w:hAnsi="Verdana"/>
          <w:b/>
          <w:bCs/>
          <w:sz w:val="20"/>
          <w:szCs w:val="20"/>
        </w:rPr>
      </w:pPr>
    </w:p>
    <w:p w14:paraId="5C4FDA1B" w14:textId="0BDA5433" w:rsidR="001B7A85" w:rsidRPr="006B5035" w:rsidRDefault="007108A1" w:rsidP="006C498D">
      <w:pPr>
        <w:ind w:firstLine="720"/>
        <w:jc w:val="center"/>
        <w:rPr>
          <w:rFonts w:ascii="Verdana" w:hAnsi="Verdana"/>
          <w:b/>
          <w:bCs/>
          <w:sz w:val="20"/>
          <w:szCs w:val="20"/>
        </w:rPr>
      </w:pPr>
      <w:r w:rsidRPr="006B5035">
        <w:rPr>
          <w:rFonts w:ascii="Verdana" w:hAnsi="Verdana"/>
          <w:b/>
          <w:bCs/>
          <w:sz w:val="20"/>
          <w:szCs w:val="20"/>
        </w:rPr>
        <w:t>Duty of Care under the Design and Building Practitioners Act</w:t>
      </w:r>
    </w:p>
    <w:p w14:paraId="2F94A5D2" w14:textId="4A63697F" w:rsidR="006C498D" w:rsidRPr="006B5035" w:rsidRDefault="001B7A85" w:rsidP="001B7A85">
      <w:pPr>
        <w:rPr>
          <w:rFonts w:ascii="Verdana" w:hAnsi="Verdana"/>
          <w:sz w:val="20"/>
          <w:szCs w:val="20"/>
        </w:rPr>
      </w:pPr>
      <w:r w:rsidRPr="006B5035">
        <w:rPr>
          <w:rFonts w:ascii="Verdana" w:hAnsi="Verdana"/>
          <w:sz w:val="20"/>
          <w:szCs w:val="20"/>
        </w:rPr>
        <w:t xml:space="preserve">The </w:t>
      </w:r>
      <w:r w:rsidRPr="006B5035">
        <w:rPr>
          <w:rFonts w:ascii="Verdana" w:hAnsi="Verdana"/>
          <w:i/>
          <w:iCs/>
          <w:sz w:val="20"/>
          <w:szCs w:val="20"/>
        </w:rPr>
        <w:t>Design and Building Practitioners Act 2020</w:t>
      </w:r>
      <w:r w:rsidRPr="006B5035">
        <w:rPr>
          <w:rFonts w:ascii="Verdana" w:hAnsi="Verdana"/>
          <w:sz w:val="20"/>
          <w:szCs w:val="20"/>
        </w:rPr>
        <w:t xml:space="preserve"> (NSW) (</w:t>
      </w:r>
      <w:r w:rsidR="00246F28" w:rsidRPr="00475585">
        <w:rPr>
          <w:rFonts w:ascii="Verdana" w:hAnsi="Verdana"/>
          <w:b/>
          <w:bCs/>
          <w:sz w:val="20"/>
          <w:szCs w:val="20"/>
        </w:rPr>
        <w:t xml:space="preserve">DBP </w:t>
      </w:r>
      <w:r w:rsidRPr="00475585">
        <w:rPr>
          <w:rFonts w:ascii="Verdana" w:hAnsi="Verdana"/>
          <w:b/>
          <w:bCs/>
          <w:sz w:val="20"/>
          <w:szCs w:val="20"/>
        </w:rPr>
        <w:t>Act</w:t>
      </w:r>
      <w:r w:rsidRPr="006B5035">
        <w:rPr>
          <w:rFonts w:ascii="Verdana" w:hAnsi="Verdana"/>
          <w:sz w:val="20"/>
          <w:szCs w:val="20"/>
        </w:rPr>
        <w:t xml:space="preserve">) and the </w:t>
      </w:r>
      <w:r w:rsidRPr="006B5035">
        <w:rPr>
          <w:rFonts w:ascii="Verdana" w:hAnsi="Verdana"/>
          <w:i/>
          <w:iCs/>
          <w:sz w:val="20"/>
          <w:szCs w:val="20"/>
        </w:rPr>
        <w:t xml:space="preserve">Design &amp; Building Practitioners Regulations 2021 </w:t>
      </w:r>
      <w:r w:rsidRPr="006B5035">
        <w:rPr>
          <w:rFonts w:ascii="Verdana" w:hAnsi="Verdana"/>
          <w:sz w:val="20"/>
          <w:szCs w:val="20"/>
        </w:rPr>
        <w:t xml:space="preserve">(NSW) brought architects a range of new legislative obligations </w:t>
      </w:r>
      <w:r w:rsidR="00FA4D33">
        <w:rPr>
          <w:rFonts w:ascii="Verdana" w:hAnsi="Verdana"/>
          <w:sz w:val="20"/>
          <w:szCs w:val="20"/>
        </w:rPr>
        <w:t>which,</w:t>
      </w:r>
      <w:r w:rsidRPr="006B5035">
        <w:rPr>
          <w:rFonts w:ascii="Verdana" w:hAnsi="Verdana"/>
          <w:sz w:val="20"/>
          <w:szCs w:val="20"/>
        </w:rPr>
        <w:t xml:space="preserve"> since its enactment</w:t>
      </w:r>
      <w:r w:rsidR="00FA4D33">
        <w:rPr>
          <w:rFonts w:ascii="Verdana" w:hAnsi="Verdana"/>
          <w:sz w:val="20"/>
          <w:szCs w:val="20"/>
        </w:rPr>
        <w:t>,</w:t>
      </w:r>
      <w:r w:rsidR="00883E02">
        <w:rPr>
          <w:rFonts w:ascii="Verdana" w:hAnsi="Verdana"/>
          <w:sz w:val="20"/>
          <w:szCs w:val="20"/>
        </w:rPr>
        <w:t xml:space="preserve"> must be </w:t>
      </w:r>
      <w:r w:rsidR="008035E7">
        <w:rPr>
          <w:rFonts w:ascii="Verdana" w:hAnsi="Verdana"/>
          <w:sz w:val="20"/>
          <w:szCs w:val="20"/>
        </w:rPr>
        <w:t>complied with</w:t>
      </w:r>
      <w:r w:rsidR="00883E02">
        <w:rPr>
          <w:rFonts w:ascii="Verdana" w:hAnsi="Verdana"/>
          <w:sz w:val="20"/>
          <w:szCs w:val="20"/>
        </w:rPr>
        <w:t xml:space="preserve"> and cannot be contracted out of.</w:t>
      </w:r>
      <w:r w:rsidR="00B17104">
        <w:rPr>
          <w:rFonts w:ascii="Verdana" w:hAnsi="Verdana"/>
          <w:sz w:val="20"/>
          <w:szCs w:val="20"/>
        </w:rPr>
        <w:t xml:space="preserve"> </w:t>
      </w:r>
      <w:r w:rsidR="00647D5A">
        <w:rPr>
          <w:rFonts w:ascii="Verdana" w:hAnsi="Verdana"/>
          <w:sz w:val="20"/>
          <w:szCs w:val="20"/>
        </w:rPr>
        <w:t xml:space="preserve">This </w:t>
      </w:r>
      <w:r w:rsidR="00B17104">
        <w:rPr>
          <w:rFonts w:ascii="Verdana" w:hAnsi="Verdana"/>
          <w:sz w:val="20"/>
          <w:szCs w:val="20"/>
        </w:rPr>
        <w:t xml:space="preserve">note </w:t>
      </w:r>
      <w:r w:rsidR="00540D00">
        <w:rPr>
          <w:rFonts w:ascii="Verdana" w:hAnsi="Verdana"/>
          <w:sz w:val="20"/>
          <w:szCs w:val="20"/>
        </w:rPr>
        <w:t>solely concerns</w:t>
      </w:r>
      <w:r w:rsidR="00B17104">
        <w:rPr>
          <w:rFonts w:ascii="Verdana" w:hAnsi="Verdana"/>
          <w:sz w:val="20"/>
          <w:szCs w:val="20"/>
        </w:rPr>
        <w:t xml:space="preserve"> the duty of care provisions in </w:t>
      </w:r>
      <w:r w:rsidR="00647D5A">
        <w:rPr>
          <w:rFonts w:ascii="Verdana" w:hAnsi="Verdana"/>
          <w:sz w:val="20"/>
          <w:szCs w:val="20"/>
        </w:rPr>
        <w:t>Part 4</w:t>
      </w:r>
      <w:r w:rsidR="00B052B8">
        <w:rPr>
          <w:rFonts w:ascii="Verdana" w:hAnsi="Verdana"/>
          <w:sz w:val="20"/>
          <w:szCs w:val="20"/>
        </w:rPr>
        <w:t xml:space="preserve"> of the DBP Act</w:t>
      </w:r>
      <w:r w:rsidR="00B17104">
        <w:rPr>
          <w:rFonts w:ascii="Verdana" w:hAnsi="Verdana"/>
          <w:sz w:val="20"/>
          <w:szCs w:val="20"/>
        </w:rPr>
        <w:t xml:space="preserve">, and the recent case of </w:t>
      </w:r>
      <w:r w:rsidR="0067432F" w:rsidRPr="00C4709F">
        <w:rPr>
          <w:rFonts w:ascii="Verdana" w:hAnsi="Verdana"/>
          <w:i/>
          <w:iCs/>
          <w:sz w:val="20"/>
          <w:szCs w:val="20"/>
        </w:rPr>
        <w:t xml:space="preserve">Goodwin Street Developments Pty Ltd </w:t>
      </w:r>
      <w:proofErr w:type="spellStart"/>
      <w:r w:rsidR="0067432F" w:rsidRPr="00C4709F">
        <w:rPr>
          <w:rFonts w:ascii="Verdana" w:hAnsi="Verdana"/>
          <w:i/>
          <w:iCs/>
          <w:sz w:val="20"/>
          <w:szCs w:val="20"/>
        </w:rPr>
        <w:t>atf</w:t>
      </w:r>
      <w:proofErr w:type="spellEnd"/>
      <w:r w:rsidR="0067432F" w:rsidRPr="00C4709F">
        <w:rPr>
          <w:rFonts w:ascii="Verdana" w:hAnsi="Verdana"/>
          <w:i/>
          <w:iCs/>
          <w:sz w:val="20"/>
          <w:szCs w:val="20"/>
        </w:rPr>
        <w:t xml:space="preserve"> Jesmond Unit Trust v DSD Builders Pty Ltd (in </w:t>
      </w:r>
      <w:proofErr w:type="spellStart"/>
      <w:r w:rsidR="0067432F" w:rsidRPr="00C4709F">
        <w:rPr>
          <w:rFonts w:ascii="Verdana" w:hAnsi="Verdana"/>
          <w:i/>
          <w:iCs/>
          <w:sz w:val="20"/>
          <w:szCs w:val="20"/>
        </w:rPr>
        <w:t>liq</w:t>
      </w:r>
      <w:proofErr w:type="spellEnd"/>
      <w:r w:rsidR="0067432F" w:rsidRPr="00C4709F">
        <w:rPr>
          <w:rFonts w:ascii="Verdana" w:hAnsi="Verdana"/>
          <w:i/>
          <w:iCs/>
          <w:sz w:val="20"/>
          <w:szCs w:val="20"/>
        </w:rPr>
        <w:t xml:space="preserve">) </w:t>
      </w:r>
      <w:r w:rsidR="0067432F">
        <w:rPr>
          <w:rFonts w:ascii="Verdana" w:hAnsi="Verdana"/>
          <w:sz w:val="20"/>
          <w:szCs w:val="20"/>
        </w:rPr>
        <w:t>[2022] NSWSC 642 (</w:t>
      </w:r>
      <w:r w:rsidR="0067432F" w:rsidRPr="00C4709F">
        <w:rPr>
          <w:rFonts w:ascii="Verdana" w:hAnsi="Verdana"/>
          <w:b/>
          <w:bCs/>
          <w:sz w:val="20"/>
          <w:szCs w:val="20"/>
        </w:rPr>
        <w:t>Goodwin</w:t>
      </w:r>
      <w:r w:rsidR="0067432F">
        <w:rPr>
          <w:rFonts w:ascii="Verdana" w:hAnsi="Verdana"/>
          <w:b/>
          <w:bCs/>
          <w:sz w:val="20"/>
          <w:szCs w:val="20"/>
        </w:rPr>
        <w:t xml:space="preserve"> v DSD</w:t>
      </w:r>
      <w:r w:rsidR="0067432F" w:rsidRPr="00C4709F">
        <w:rPr>
          <w:rFonts w:ascii="Verdana" w:hAnsi="Verdana"/>
          <w:sz w:val="20"/>
          <w:szCs w:val="20"/>
        </w:rPr>
        <w:t>)</w:t>
      </w:r>
      <w:r w:rsidR="00B052B8">
        <w:rPr>
          <w:rFonts w:ascii="Verdana" w:hAnsi="Verdana"/>
          <w:sz w:val="20"/>
          <w:szCs w:val="20"/>
        </w:rPr>
        <w:t>.</w:t>
      </w:r>
    </w:p>
    <w:p w14:paraId="5BC0A23F" w14:textId="1D98F2F7" w:rsidR="000B2EED" w:rsidRPr="006B5035" w:rsidRDefault="000B2EED" w:rsidP="001B7A85">
      <w:pPr>
        <w:rPr>
          <w:rFonts w:ascii="Verdana" w:hAnsi="Verdana"/>
          <w:b/>
          <w:bCs/>
          <w:i/>
          <w:iCs/>
          <w:sz w:val="20"/>
          <w:szCs w:val="20"/>
        </w:rPr>
      </w:pPr>
      <w:r w:rsidRPr="006B5035">
        <w:rPr>
          <w:rFonts w:ascii="Verdana" w:hAnsi="Verdana"/>
          <w:b/>
          <w:bCs/>
          <w:i/>
          <w:iCs/>
          <w:sz w:val="20"/>
          <w:szCs w:val="20"/>
        </w:rPr>
        <w:t>What is the duty of care obligation under</w:t>
      </w:r>
      <w:r w:rsidR="0067432F">
        <w:rPr>
          <w:rFonts w:ascii="Verdana" w:hAnsi="Verdana"/>
          <w:b/>
          <w:bCs/>
          <w:i/>
          <w:iCs/>
          <w:sz w:val="20"/>
          <w:szCs w:val="20"/>
        </w:rPr>
        <w:t xml:space="preserve"> s37 of</w:t>
      </w:r>
      <w:r w:rsidRPr="006B5035">
        <w:rPr>
          <w:rFonts w:ascii="Verdana" w:hAnsi="Verdana"/>
          <w:b/>
          <w:bCs/>
          <w:i/>
          <w:iCs/>
          <w:sz w:val="20"/>
          <w:szCs w:val="20"/>
        </w:rPr>
        <w:t xml:space="preserve"> the Act?</w:t>
      </w:r>
    </w:p>
    <w:p w14:paraId="01334CB2" w14:textId="654EC524" w:rsidR="00AC4E8C" w:rsidRDefault="00AC4E8C" w:rsidP="001B7A85">
      <w:pPr>
        <w:rPr>
          <w:rFonts w:ascii="Verdana" w:hAnsi="Verdana"/>
          <w:sz w:val="20"/>
          <w:szCs w:val="20"/>
        </w:rPr>
      </w:pPr>
      <w:r w:rsidRPr="000068EE">
        <w:rPr>
          <w:rFonts w:ascii="Verdana" w:hAnsi="Verdana"/>
          <w:b/>
          <w:bCs/>
          <w:i/>
          <w:iCs/>
          <w:noProof/>
          <w:sz w:val="20"/>
          <w:szCs w:val="20"/>
        </w:rPr>
        <mc:AlternateContent>
          <mc:Choice Requires="wps">
            <w:drawing>
              <wp:anchor distT="45720" distB="45720" distL="114300" distR="114300" simplePos="0" relativeHeight="251659264" behindDoc="0" locked="0" layoutInCell="1" allowOverlap="1" wp14:anchorId="377CE423" wp14:editId="41A34B3D">
                <wp:simplePos x="0" y="0"/>
                <wp:positionH relativeFrom="column">
                  <wp:posOffset>438150</wp:posOffset>
                </wp:positionH>
                <wp:positionV relativeFrom="paragraph">
                  <wp:posOffset>20955</wp:posOffset>
                </wp:positionV>
                <wp:extent cx="4467225" cy="619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19125"/>
                        </a:xfrm>
                        <a:prstGeom prst="rect">
                          <a:avLst/>
                        </a:prstGeom>
                        <a:solidFill>
                          <a:srgbClr val="FFFFFF"/>
                        </a:solidFill>
                        <a:ln w="9525">
                          <a:solidFill>
                            <a:srgbClr val="000000"/>
                          </a:solidFill>
                          <a:miter lim="800000"/>
                          <a:headEnd/>
                          <a:tailEnd/>
                        </a:ln>
                      </wps:spPr>
                      <wps:txbx>
                        <w:txbxContent>
                          <w:p w14:paraId="64F25974" w14:textId="05526C0F" w:rsidR="000068EE" w:rsidRPr="004624D7" w:rsidRDefault="004624D7">
                            <w:pPr>
                              <w:rPr>
                                <w:rFonts w:ascii="Verdana" w:hAnsi="Verdana"/>
                                <w:i/>
                                <w:iCs/>
                                <w:sz w:val="20"/>
                                <w:szCs w:val="20"/>
                              </w:rPr>
                            </w:pPr>
                            <w:r>
                              <w:rPr>
                                <w:rFonts w:ascii="Verdana" w:hAnsi="Verdana"/>
                                <w:i/>
                                <w:iCs/>
                                <w:sz w:val="20"/>
                                <w:szCs w:val="20"/>
                              </w:rPr>
                              <w:t>An architect has</w:t>
                            </w:r>
                            <w:r w:rsidR="000068EE" w:rsidRPr="004624D7">
                              <w:rPr>
                                <w:rFonts w:ascii="Verdana" w:hAnsi="Verdana"/>
                                <w:i/>
                                <w:iCs/>
                                <w:sz w:val="20"/>
                                <w:szCs w:val="20"/>
                              </w:rPr>
                              <w:t xml:space="preserve"> a duty to use reasonable care to avoid economic loss </w:t>
                            </w:r>
                            <w:r w:rsidR="008035E7" w:rsidRPr="004624D7">
                              <w:rPr>
                                <w:rFonts w:ascii="Verdana" w:hAnsi="Verdana"/>
                                <w:i/>
                                <w:iCs/>
                                <w:sz w:val="20"/>
                                <w:szCs w:val="20"/>
                              </w:rPr>
                              <w:t>caused</w:t>
                            </w:r>
                            <w:r w:rsidR="00AC4E8C" w:rsidRPr="004624D7">
                              <w:rPr>
                                <w:rFonts w:ascii="Verdana" w:hAnsi="Verdana"/>
                                <w:i/>
                                <w:iCs/>
                                <w:sz w:val="20"/>
                                <w:szCs w:val="20"/>
                              </w:rPr>
                              <w:t xml:space="preserve"> </w:t>
                            </w:r>
                            <w:r w:rsidR="000068EE" w:rsidRPr="004624D7">
                              <w:rPr>
                                <w:rFonts w:ascii="Verdana" w:hAnsi="Verdana"/>
                                <w:i/>
                                <w:iCs/>
                                <w:sz w:val="20"/>
                                <w:szCs w:val="20"/>
                              </w:rPr>
                              <w:t xml:space="preserve">by defects relating to the building and arising from </w:t>
                            </w:r>
                            <w:r w:rsidR="008206B6">
                              <w:rPr>
                                <w:rFonts w:ascii="Verdana" w:hAnsi="Verdana"/>
                                <w:i/>
                                <w:iCs/>
                                <w:sz w:val="20"/>
                                <w:szCs w:val="20"/>
                              </w:rPr>
                              <w:t>‘</w:t>
                            </w:r>
                            <w:r w:rsidR="000068EE" w:rsidRPr="004624D7">
                              <w:rPr>
                                <w:rFonts w:ascii="Verdana" w:hAnsi="Verdana"/>
                                <w:i/>
                                <w:iCs/>
                                <w:sz w:val="20"/>
                                <w:szCs w:val="20"/>
                              </w:rPr>
                              <w:t>construction work</w:t>
                            </w:r>
                            <w:r w:rsidR="008206B6">
                              <w:rPr>
                                <w:rFonts w:ascii="Verdana" w:hAnsi="Verdana"/>
                                <w:i/>
                                <w:iCs/>
                                <w:sz w:val="20"/>
                                <w:szCs w:val="20"/>
                              </w:rPr>
                              <w:t>’</w:t>
                            </w:r>
                            <w:r w:rsidR="00AC4E8C" w:rsidRPr="004624D7">
                              <w:rPr>
                                <w:rFonts w:ascii="Verdana" w:hAnsi="Verdana"/>
                                <w:i/>
                                <w:iCs/>
                                <w:sz w:val="20"/>
                                <w:szCs w:val="20"/>
                              </w:rPr>
                              <w:t xml:space="preserve"> (as defined by</w:t>
                            </w:r>
                            <w:r w:rsidR="00B052B8">
                              <w:rPr>
                                <w:rFonts w:ascii="Verdana" w:hAnsi="Verdana"/>
                                <w:i/>
                                <w:iCs/>
                                <w:sz w:val="20"/>
                                <w:szCs w:val="20"/>
                              </w:rPr>
                              <w:t xml:space="preserve"> Part 4</w:t>
                            </w:r>
                            <w:r w:rsidR="00AC4E8C" w:rsidRPr="004624D7">
                              <w:rPr>
                                <w:rFonts w:ascii="Verdana" w:hAnsi="Verdana"/>
                                <w:i/>
                                <w:iCs/>
                                <w:sz w:val="20"/>
                                <w:szCs w:val="20"/>
                              </w:rPr>
                              <w:t xml:space="preserve"> the DBP 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CE423" id="_x0000_t202" coordsize="21600,21600" o:spt="202" path="m,l,21600r21600,l21600,xe">
                <v:stroke joinstyle="miter"/>
                <v:path gradientshapeok="t" o:connecttype="rect"/>
              </v:shapetype>
              <v:shape id="Text Box 2" o:spid="_x0000_s1026" type="#_x0000_t202" style="position:absolute;margin-left:34.5pt;margin-top:1.65pt;width:351.75pt;height:4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">
                <v:textbox>
                  <w:txbxContent>
                    <w:p w14:paraId="64F25974" w14:textId="05526C0F" w:rsidR="000068EE" w:rsidRPr="004624D7" w:rsidRDefault="004624D7">
                      <w:pPr>
                        <w:rPr>
                          <w:rFonts w:ascii="Verdana" w:hAnsi="Verdana"/>
                          <w:i/>
                          <w:iCs/>
                          <w:sz w:val="20"/>
                          <w:szCs w:val="20"/>
                        </w:rPr>
                      </w:pPr>
                      <w:r>
                        <w:rPr>
                          <w:rFonts w:ascii="Verdana" w:hAnsi="Verdana"/>
                          <w:i/>
                          <w:iCs/>
                          <w:sz w:val="20"/>
                          <w:szCs w:val="20"/>
                        </w:rPr>
                        <w:t>An architect has</w:t>
                      </w:r>
                      <w:r w:rsidR="000068EE" w:rsidRPr="004624D7">
                        <w:rPr>
                          <w:rFonts w:ascii="Verdana" w:hAnsi="Verdana"/>
                          <w:i/>
                          <w:iCs/>
                          <w:sz w:val="20"/>
                          <w:szCs w:val="20"/>
                        </w:rPr>
                        <w:t xml:space="preserve"> a duty to use reasonable care to avoid economic loss </w:t>
                      </w:r>
                      <w:r w:rsidR="008035E7" w:rsidRPr="004624D7">
                        <w:rPr>
                          <w:rFonts w:ascii="Verdana" w:hAnsi="Verdana"/>
                          <w:i/>
                          <w:iCs/>
                          <w:sz w:val="20"/>
                          <w:szCs w:val="20"/>
                        </w:rPr>
                        <w:t>caused</w:t>
                      </w:r>
                      <w:r w:rsidR="00AC4E8C" w:rsidRPr="004624D7">
                        <w:rPr>
                          <w:rFonts w:ascii="Verdana" w:hAnsi="Verdana"/>
                          <w:i/>
                          <w:iCs/>
                          <w:sz w:val="20"/>
                          <w:szCs w:val="20"/>
                        </w:rPr>
                        <w:t xml:space="preserve"> </w:t>
                      </w:r>
                      <w:r w:rsidR="000068EE" w:rsidRPr="004624D7">
                        <w:rPr>
                          <w:rFonts w:ascii="Verdana" w:hAnsi="Verdana"/>
                          <w:i/>
                          <w:iCs/>
                          <w:sz w:val="20"/>
                          <w:szCs w:val="20"/>
                        </w:rPr>
                        <w:t xml:space="preserve">by defects relating to the building and arising from </w:t>
                      </w:r>
                      <w:r w:rsidR="008206B6">
                        <w:rPr>
                          <w:rFonts w:ascii="Verdana" w:hAnsi="Verdana"/>
                          <w:i/>
                          <w:iCs/>
                          <w:sz w:val="20"/>
                          <w:szCs w:val="20"/>
                        </w:rPr>
                        <w:t>‘</w:t>
                      </w:r>
                      <w:r w:rsidR="000068EE" w:rsidRPr="004624D7">
                        <w:rPr>
                          <w:rFonts w:ascii="Verdana" w:hAnsi="Verdana"/>
                          <w:i/>
                          <w:iCs/>
                          <w:sz w:val="20"/>
                          <w:szCs w:val="20"/>
                        </w:rPr>
                        <w:t>construction work</w:t>
                      </w:r>
                      <w:r w:rsidR="008206B6">
                        <w:rPr>
                          <w:rFonts w:ascii="Verdana" w:hAnsi="Verdana"/>
                          <w:i/>
                          <w:iCs/>
                          <w:sz w:val="20"/>
                          <w:szCs w:val="20"/>
                        </w:rPr>
                        <w:t>’</w:t>
                      </w:r>
                      <w:r w:rsidR="00AC4E8C" w:rsidRPr="004624D7">
                        <w:rPr>
                          <w:rFonts w:ascii="Verdana" w:hAnsi="Verdana"/>
                          <w:i/>
                          <w:iCs/>
                          <w:sz w:val="20"/>
                          <w:szCs w:val="20"/>
                        </w:rPr>
                        <w:t xml:space="preserve"> (as defined by</w:t>
                      </w:r>
                      <w:r w:rsidR="00B052B8">
                        <w:rPr>
                          <w:rFonts w:ascii="Verdana" w:hAnsi="Verdana"/>
                          <w:i/>
                          <w:iCs/>
                          <w:sz w:val="20"/>
                          <w:szCs w:val="20"/>
                        </w:rPr>
                        <w:t xml:space="preserve"> Part 4</w:t>
                      </w:r>
                      <w:r w:rsidR="00AC4E8C" w:rsidRPr="004624D7">
                        <w:rPr>
                          <w:rFonts w:ascii="Verdana" w:hAnsi="Verdana"/>
                          <w:i/>
                          <w:iCs/>
                          <w:sz w:val="20"/>
                          <w:szCs w:val="20"/>
                        </w:rPr>
                        <w:t xml:space="preserve"> the DBP Act).</w:t>
                      </w:r>
                    </w:p>
                  </w:txbxContent>
                </v:textbox>
                <w10:wrap type="square"/>
              </v:shape>
            </w:pict>
          </mc:Fallback>
        </mc:AlternateContent>
      </w:r>
    </w:p>
    <w:p w14:paraId="0D340D73" w14:textId="7F57C5DE" w:rsidR="00AC4E8C" w:rsidRDefault="00AC4E8C" w:rsidP="001B7A85">
      <w:pPr>
        <w:rPr>
          <w:rFonts w:ascii="Verdana" w:hAnsi="Verdana"/>
          <w:sz w:val="20"/>
          <w:szCs w:val="20"/>
        </w:rPr>
      </w:pPr>
      <w:r>
        <w:rPr>
          <w:rFonts w:ascii="Verdana" w:hAnsi="Verdana"/>
          <w:sz w:val="20"/>
          <w:szCs w:val="20"/>
        </w:rPr>
        <w:t xml:space="preserve">      </w:t>
      </w:r>
    </w:p>
    <w:p w14:paraId="13832930" w14:textId="77777777" w:rsidR="00AC4E8C" w:rsidRDefault="00AC4E8C" w:rsidP="001B7A85">
      <w:pPr>
        <w:rPr>
          <w:rFonts w:ascii="Verdana" w:hAnsi="Verdana"/>
          <w:sz w:val="20"/>
          <w:szCs w:val="20"/>
        </w:rPr>
      </w:pPr>
    </w:p>
    <w:p w14:paraId="52AE411D" w14:textId="29CFC1D3" w:rsidR="000B2EED" w:rsidRPr="006B5035" w:rsidRDefault="000B2EED" w:rsidP="001B7A85">
      <w:pPr>
        <w:rPr>
          <w:rFonts w:ascii="Verdana" w:hAnsi="Verdana"/>
          <w:sz w:val="20"/>
          <w:szCs w:val="20"/>
        </w:rPr>
      </w:pPr>
      <w:r w:rsidRPr="006B5035">
        <w:rPr>
          <w:rFonts w:ascii="Verdana" w:hAnsi="Verdana"/>
          <w:sz w:val="20"/>
          <w:szCs w:val="20"/>
        </w:rPr>
        <w:t>S37(1) of</w:t>
      </w:r>
      <w:r w:rsidR="00283D51">
        <w:rPr>
          <w:rFonts w:ascii="Verdana" w:hAnsi="Verdana"/>
          <w:sz w:val="20"/>
          <w:szCs w:val="20"/>
        </w:rPr>
        <w:t xml:space="preserve"> Part 4</w:t>
      </w:r>
      <w:r w:rsidRPr="006B5035">
        <w:rPr>
          <w:rFonts w:ascii="Verdana" w:hAnsi="Verdana"/>
          <w:sz w:val="20"/>
          <w:szCs w:val="20"/>
        </w:rPr>
        <w:t xml:space="preserve"> the </w:t>
      </w:r>
      <w:r w:rsidR="00246F28">
        <w:rPr>
          <w:rFonts w:ascii="Verdana" w:hAnsi="Verdana"/>
          <w:sz w:val="20"/>
          <w:szCs w:val="20"/>
        </w:rPr>
        <w:t xml:space="preserve">DBP </w:t>
      </w:r>
      <w:r w:rsidRPr="006B5035">
        <w:rPr>
          <w:rFonts w:ascii="Verdana" w:hAnsi="Verdana"/>
          <w:sz w:val="20"/>
          <w:szCs w:val="20"/>
        </w:rPr>
        <w:t>Act states that a</w:t>
      </w:r>
      <w:r w:rsidR="00883E02">
        <w:rPr>
          <w:rFonts w:ascii="Verdana" w:hAnsi="Verdana"/>
          <w:sz w:val="20"/>
          <w:szCs w:val="20"/>
        </w:rPr>
        <w:t>n architect</w:t>
      </w:r>
      <w:r w:rsidR="007C1649" w:rsidRPr="006B5035">
        <w:rPr>
          <w:rFonts w:ascii="Verdana" w:hAnsi="Verdana"/>
          <w:sz w:val="20"/>
          <w:szCs w:val="20"/>
        </w:rPr>
        <w:t xml:space="preserve"> who carries out ‘construction work’ has a duty to exercise reasonable care to avoid economic loss caused by defects:</w:t>
      </w:r>
    </w:p>
    <w:p w14:paraId="0AAED6E8" w14:textId="7EFADF3E" w:rsidR="007C1649" w:rsidRPr="006B5035" w:rsidRDefault="00883E02" w:rsidP="007C1649">
      <w:pPr>
        <w:pStyle w:val="ListParagraph"/>
        <w:numPr>
          <w:ilvl w:val="0"/>
          <w:numId w:val="2"/>
        </w:numPr>
        <w:rPr>
          <w:rFonts w:ascii="Verdana" w:hAnsi="Verdana"/>
          <w:sz w:val="20"/>
          <w:szCs w:val="20"/>
        </w:rPr>
      </w:pPr>
      <w:r>
        <w:rPr>
          <w:rFonts w:ascii="Verdana" w:hAnsi="Verdana"/>
          <w:sz w:val="20"/>
          <w:szCs w:val="20"/>
        </w:rPr>
        <w:t>i</w:t>
      </w:r>
      <w:r w:rsidR="007C1649" w:rsidRPr="006B5035">
        <w:rPr>
          <w:rFonts w:ascii="Verdana" w:hAnsi="Verdana"/>
          <w:sz w:val="20"/>
          <w:szCs w:val="20"/>
        </w:rPr>
        <w:t>n or related to a building where the work is done and</w:t>
      </w:r>
    </w:p>
    <w:p w14:paraId="2B97553E" w14:textId="0AA22C61" w:rsidR="007C1649" w:rsidRPr="006B5035" w:rsidRDefault="00883E02" w:rsidP="007C1649">
      <w:pPr>
        <w:pStyle w:val="ListParagraph"/>
        <w:numPr>
          <w:ilvl w:val="0"/>
          <w:numId w:val="2"/>
        </w:numPr>
        <w:rPr>
          <w:rFonts w:ascii="Verdana" w:hAnsi="Verdana"/>
          <w:sz w:val="20"/>
          <w:szCs w:val="20"/>
        </w:rPr>
      </w:pPr>
      <w:r>
        <w:rPr>
          <w:rFonts w:ascii="Verdana" w:hAnsi="Verdana"/>
          <w:sz w:val="20"/>
          <w:szCs w:val="20"/>
        </w:rPr>
        <w:t>a</w:t>
      </w:r>
      <w:r w:rsidR="007C1649" w:rsidRPr="006B5035">
        <w:rPr>
          <w:rFonts w:ascii="Verdana" w:hAnsi="Verdana"/>
          <w:sz w:val="20"/>
          <w:szCs w:val="20"/>
        </w:rPr>
        <w:t>rising from construction work</w:t>
      </w:r>
      <w:r>
        <w:rPr>
          <w:rFonts w:ascii="Verdana" w:hAnsi="Verdana"/>
          <w:sz w:val="20"/>
          <w:szCs w:val="20"/>
        </w:rPr>
        <w:t xml:space="preserve"> (including </w:t>
      </w:r>
      <w:r w:rsidR="001B565D">
        <w:rPr>
          <w:rFonts w:ascii="Verdana" w:hAnsi="Verdana"/>
          <w:sz w:val="20"/>
          <w:szCs w:val="20"/>
        </w:rPr>
        <w:t xml:space="preserve">preparation of </w:t>
      </w:r>
      <w:r>
        <w:rPr>
          <w:rFonts w:ascii="Verdana" w:hAnsi="Verdana"/>
          <w:sz w:val="20"/>
          <w:szCs w:val="20"/>
        </w:rPr>
        <w:t>registered designs</w:t>
      </w:r>
      <w:r w:rsidR="00EB364C">
        <w:rPr>
          <w:rFonts w:ascii="Verdana" w:hAnsi="Verdana"/>
          <w:sz w:val="20"/>
          <w:szCs w:val="20"/>
        </w:rPr>
        <w:t>, other designs for building work</w:t>
      </w:r>
      <w:r w:rsidR="001B565D">
        <w:rPr>
          <w:rFonts w:ascii="Verdana" w:hAnsi="Verdana"/>
          <w:sz w:val="20"/>
          <w:szCs w:val="20"/>
        </w:rPr>
        <w:t xml:space="preserve"> </w:t>
      </w:r>
      <w:r>
        <w:rPr>
          <w:rFonts w:ascii="Verdana" w:hAnsi="Verdana"/>
          <w:sz w:val="20"/>
          <w:szCs w:val="20"/>
        </w:rPr>
        <w:t>and other services such as supervision, contract administration and project management</w:t>
      </w:r>
      <w:r w:rsidR="00EB364C">
        <w:rPr>
          <w:rFonts w:ascii="Verdana" w:hAnsi="Verdana"/>
          <w:sz w:val="20"/>
          <w:szCs w:val="20"/>
        </w:rPr>
        <w:t xml:space="preserve"> of building work or designs for building work</w:t>
      </w:r>
      <w:r>
        <w:rPr>
          <w:rFonts w:ascii="Verdana" w:hAnsi="Verdana"/>
          <w:sz w:val="20"/>
          <w:szCs w:val="20"/>
        </w:rPr>
        <w:t>)</w:t>
      </w:r>
      <w:r w:rsidR="0066148C">
        <w:rPr>
          <w:rFonts w:ascii="Verdana" w:hAnsi="Verdana"/>
          <w:sz w:val="20"/>
          <w:szCs w:val="20"/>
        </w:rPr>
        <w:t>.</w:t>
      </w:r>
    </w:p>
    <w:p w14:paraId="5FA85577" w14:textId="0C59A4CB" w:rsidR="0067432F" w:rsidRDefault="0067432F" w:rsidP="001B7A85">
      <w:pPr>
        <w:rPr>
          <w:color w:val="000000"/>
          <w:sz w:val="25"/>
          <w:szCs w:val="25"/>
          <w:shd w:val="clear" w:color="auto" w:fill="FFFFFF"/>
        </w:rPr>
      </w:pPr>
      <w:r w:rsidRPr="008206B6">
        <w:rPr>
          <w:rFonts w:ascii="Verdana" w:hAnsi="Verdana"/>
          <w:sz w:val="20"/>
          <w:szCs w:val="20"/>
        </w:rPr>
        <w:t>Architects carry out ‘construction work’ for the purpose of th</w:t>
      </w:r>
      <w:r>
        <w:rPr>
          <w:rFonts w:ascii="Verdana" w:hAnsi="Verdana"/>
          <w:sz w:val="20"/>
          <w:szCs w:val="20"/>
        </w:rPr>
        <w:t>e statutory</w:t>
      </w:r>
      <w:r w:rsidRPr="008206B6">
        <w:rPr>
          <w:rFonts w:ascii="Verdana" w:hAnsi="Verdana"/>
          <w:sz w:val="20"/>
          <w:szCs w:val="20"/>
        </w:rPr>
        <w:t xml:space="preserve"> duty of care. S36 of the DBP Act defines </w:t>
      </w:r>
      <w:r w:rsidR="00D217AC">
        <w:rPr>
          <w:rFonts w:ascii="Verdana" w:hAnsi="Verdana"/>
          <w:sz w:val="20"/>
          <w:szCs w:val="20"/>
        </w:rPr>
        <w:t>‘</w:t>
      </w:r>
      <w:r w:rsidRPr="008206B6">
        <w:rPr>
          <w:rFonts w:ascii="Verdana" w:hAnsi="Verdana"/>
          <w:sz w:val="20"/>
          <w:szCs w:val="20"/>
        </w:rPr>
        <w:t>construction work</w:t>
      </w:r>
      <w:r w:rsidR="00D217AC">
        <w:rPr>
          <w:rFonts w:ascii="Verdana" w:hAnsi="Verdana"/>
          <w:sz w:val="20"/>
          <w:szCs w:val="20"/>
        </w:rPr>
        <w:t>’</w:t>
      </w:r>
      <w:r w:rsidRPr="008206B6">
        <w:rPr>
          <w:rFonts w:ascii="Verdana" w:hAnsi="Verdana"/>
          <w:sz w:val="20"/>
          <w:szCs w:val="20"/>
        </w:rPr>
        <w:t xml:space="preserve"> </w:t>
      </w:r>
      <w:r w:rsidR="00D217AC">
        <w:rPr>
          <w:rFonts w:ascii="Verdana" w:hAnsi="Verdana"/>
          <w:sz w:val="20"/>
          <w:szCs w:val="20"/>
        </w:rPr>
        <w:t xml:space="preserve">which, </w:t>
      </w:r>
      <w:r w:rsidRPr="008206B6">
        <w:rPr>
          <w:rFonts w:ascii="Verdana" w:hAnsi="Verdana"/>
          <w:sz w:val="20"/>
          <w:szCs w:val="20"/>
        </w:rPr>
        <w:t>in part</w:t>
      </w:r>
      <w:r w:rsidR="00EB364C">
        <w:rPr>
          <w:rFonts w:ascii="Verdana" w:hAnsi="Verdana"/>
          <w:sz w:val="20"/>
          <w:szCs w:val="20"/>
        </w:rPr>
        <w:t>,</w:t>
      </w:r>
      <w:r w:rsidRPr="008206B6">
        <w:rPr>
          <w:rFonts w:ascii="Verdana" w:hAnsi="Verdana"/>
          <w:sz w:val="20"/>
          <w:szCs w:val="20"/>
        </w:rPr>
        <w:t xml:space="preserve"> mean</w:t>
      </w:r>
      <w:r w:rsidR="00D217AC">
        <w:rPr>
          <w:rFonts w:ascii="Verdana" w:hAnsi="Verdana"/>
          <w:sz w:val="20"/>
          <w:szCs w:val="20"/>
        </w:rPr>
        <w:t>s</w:t>
      </w:r>
      <w:r w:rsidRPr="008206B6">
        <w:rPr>
          <w:rFonts w:ascii="Verdana" w:hAnsi="Verdana"/>
          <w:sz w:val="20"/>
          <w:szCs w:val="20"/>
        </w:rPr>
        <w:t xml:space="preserve"> </w:t>
      </w:r>
      <w:r w:rsidR="008206B6">
        <w:rPr>
          <w:rFonts w:ascii="Verdana" w:hAnsi="Verdana"/>
          <w:sz w:val="20"/>
          <w:szCs w:val="20"/>
        </w:rPr>
        <w:t>‘</w:t>
      </w:r>
      <w:r w:rsidRPr="008206B6">
        <w:rPr>
          <w:rFonts w:ascii="Verdana" w:hAnsi="Verdana"/>
          <w:i/>
          <w:iCs/>
          <w:color w:val="000000"/>
          <w:sz w:val="20"/>
          <w:szCs w:val="20"/>
          <w:shd w:val="clear" w:color="auto" w:fill="FFFFFF"/>
        </w:rPr>
        <w:t>the preparation of regulated designs and other designs for building work</w:t>
      </w:r>
      <w:r w:rsidR="008206B6">
        <w:rPr>
          <w:color w:val="000000"/>
          <w:sz w:val="25"/>
          <w:szCs w:val="25"/>
          <w:shd w:val="clear" w:color="auto" w:fill="FFFFFF"/>
        </w:rPr>
        <w:t>’</w:t>
      </w:r>
      <w:r w:rsidRPr="008206B6">
        <w:rPr>
          <w:color w:val="000000"/>
          <w:sz w:val="25"/>
          <w:szCs w:val="25"/>
          <w:shd w:val="clear" w:color="auto" w:fill="FFFFFF"/>
        </w:rPr>
        <w:t>.</w:t>
      </w:r>
    </w:p>
    <w:p w14:paraId="2AFFB78F" w14:textId="2DE5B047" w:rsidR="000068EE" w:rsidRDefault="007C1649" w:rsidP="001B7A85">
      <w:pPr>
        <w:rPr>
          <w:rFonts w:ascii="Verdana" w:hAnsi="Verdana"/>
          <w:sz w:val="20"/>
          <w:szCs w:val="20"/>
        </w:rPr>
      </w:pPr>
      <w:r w:rsidRPr="006B5035">
        <w:rPr>
          <w:rFonts w:ascii="Verdana" w:hAnsi="Verdana"/>
          <w:sz w:val="20"/>
          <w:szCs w:val="20"/>
        </w:rPr>
        <w:t>This duty of care is owed to each owner of the land and to each subsequent owner of the land</w:t>
      </w:r>
      <w:r w:rsidR="00883E02">
        <w:rPr>
          <w:rFonts w:ascii="Verdana" w:hAnsi="Verdana"/>
          <w:sz w:val="20"/>
          <w:szCs w:val="20"/>
        </w:rPr>
        <w:t>.</w:t>
      </w:r>
      <w:r w:rsidRPr="006B5035">
        <w:rPr>
          <w:rFonts w:ascii="Verdana" w:hAnsi="Verdana"/>
          <w:sz w:val="20"/>
          <w:szCs w:val="20"/>
        </w:rPr>
        <w:t xml:space="preserve"> </w:t>
      </w:r>
      <w:r w:rsidR="00883E02">
        <w:rPr>
          <w:rFonts w:ascii="Verdana" w:hAnsi="Verdana"/>
          <w:sz w:val="20"/>
          <w:szCs w:val="20"/>
        </w:rPr>
        <w:t>I</w:t>
      </w:r>
      <w:r w:rsidRPr="006B5035">
        <w:rPr>
          <w:rFonts w:ascii="Verdana" w:hAnsi="Verdana"/>
          <w:sz w:val="20"/>
          <w:szCs w:val="20"/>
        </w:rPr>
        <w:t>f the duty is owed, a person is entitled to damages for breach of that duty</w:t>
      </w:r>
      <w:r w:rsidR="000068EE">
        <w:rPr>
          <w:rFonts w:ascii="Verdana" w:hAnsi="Verdana"/>
          <w:sz w:val="20"/>
          <w:szCs w:val="20"/>
        </w:rPr>
        <w:t>.</w:t>
      </w:r>
    </w:p>
    <w:p w14:paraId="1642A371" w14:textId="52F0AB50" w:rsidR="004C0ABD" w:rsidRPr="00AC4E8C" w:rsidRDefault="004C0ABD" w:rsidP="001B7A85">
      <w:pPr>
        <w:rPr>
          <w:rFonts w:ascii="Verdana" w:hAnsi="Verdana"/>
          <w:sz w:val="20"/>
          <w:szCs w:val="20"/>
        </w:rPr>
      </w:pPr>
      <w:r>
        <w:rPr>
          <w:rFonts w:ascii="Verdana" w:hAnsi="Verdana"/>
          <w:sz w:val="20"/>
          <w:szCs w:val="20"/>
        </w:rPr>
        <w:t>I</w:t>
      </w:r>
      <w:r w:rsidRPr="006B5035">
        <w:rPr>
          <w:rFonts w:ascii="Verdana" w:hAnsi="Verdana"/>
          <w:sz w:val="20"/>
          <w:szCs w:val="20"/>
        </w:rPr>
        <w:t xml:space="preserve">t is important to </w:t>
      </w:r>
      <w:r w:rsidR="003D5EB8">
        <w:rPr>
          <w:rFonts w:ascii="Verdana" w:hAnsi="Verdana"/>
          <w:sz w:val="20"/>
          <w:szCs w:val="20"/>
        </w:rPr>
        <w:t>perform your services to the duty of care imposed by the DBP Act as well as with ‘reasonable skill and care of a competent consultant’ which has been establish at common law. R</w:t>
      </w:r>
      <w:r w:rsidRPr="006B5035">
        <w:rPr>
          <w:rFonts w:ascii="Verdana" w:hAnsi="Verdana"/>
          <w:sz w:val="20"/>
          <w:szCs w:val="20"/>
        </w:rPr>
        <w:t xml:space="preserve">emember that </w:t>
      </w:r>
      <w:r>
        <w:rPr>
          <w:rFonts w:ascii="Verdana" w:hAnsi="Verdana"/>
          <w:sz w:val="20"/>
          <w:szCs w:val="20"/>
        </w:rPr>
        <w:t>a</w:t>
      </w:r>
      <w:r w:rsidR="00FA4D33">
        <w:rPr>
          <w:rFonts w:ascii="Verdana" w:hAnsi="Verdana"/>
          <w:sz w:val="20"/>
          <w:szCs w:val="20"/>
        </w:rPr>
        <w:t>n</w:t>
      </w:r>
      <w:r w:rsidRPr="006B5035">
        <w:rPr>
          <w:rFonts w:ascii="Verdana" w:hAnsi="Verdana"/>
          <w:sz w:val="20"/>
          <w:szCs w:val="20"/>
        </w:rPr>
        <w:t xml:space="preserve"> </w:t>
      </w:r>
      <w:r w:rsidR="00697F70">
        <w:rPr>
          <w:rFonts w:ascii="Verdana" w:hAnsi="Verdana"/>
          <w:sz w:val="20"/>
          <w:szCs w:val="20"/>
        </w:rPr>
        <w:t>architect’s</w:t>
      </w:r>
      <w:r w:rsidRPr="006B5035">
        <w:rPr>
          <w:rFonts w:ascii="Verdana" w:hAnsi="Verdana"/>
          <w:sz w:val="20"/>
          <w:szCs w:val="20"/>
        </w:rPr>
        <w:t xml:space="preserve"> Professional Indemnity (</w:t>
      </w:r>
      <w:r w:rsidRPr="00697F70">
        <w:rPr>
          <w:rFonts w:ascii="Verdana" w:hAnsi="Verdana"/>
          <w:b/>
          <w:bCs/>
          <w:sz w:val="20"/>
          <w:szCs w:val="20"/>
        </w:rPr>
        <w:t>PI</w:t>
      </w:r>
      <w:r w:rsidRPr="006B5035">
        <w:rPr>
          <w:rFonts w:ascii="Verdana" w:hAnsi="Verdana"/>
          <w:sz w:val="20"/>
          <w:szCs w:val="20"/>
        </w:rPr>
        <w:t xml:space="preserve">) insurance is an important resource and risk management tool. Although </w:t>
      </w:r>
      <w:r>
        <w:rPr>
          <w:rFonts w:ascii="Verdana" w:hAnsi="Verdana"/>
          <w:sz w:val="20"/>
          <w:szCs w:val="20"/>
        </w:rPr>
        <w:t xml:space="preserve">there are some </w:t>
      </w:r>
      <w:r w:rsidRPr="006B5035">
        <w:rPr>
          <w:rFonts w:ascii="Verdana" w:hAnsi="Verdana"/>
          <w:sz w:val="20"/>
          <w:szCs w:val="20"/>
        </w:rPr>
        <w:t xml:space="preserve">policies which contain exclusions stating that all or some obligations under the </w:t>
      </w:r>
      <w:r>
        <w:rPr>
          <w:rFonts w:ascii="Verdana" w:hAnsi="Verdana"/>
          <w:sz w:val="20"/>
          <w:szCs w:val="20"/>
        </w:rPr>
        <w:t xml:space="preserve">DBP </w:t>
      </w:r>
      <w:r w:rsidRPr="006B5035">
        <w:rPr>
          <w:rFonts w:ascii="Verdana" w:hAnsi="Verdana"/>
          <w:sz w:val="20"/>
          <w:szCs w:val="20"/>
        </w:rPr>
        <w:t xml:space="preserve">Act are not covered, this is rare. Most PI insurance policies do not specifically refer to or exclude the </w:t>
      </w:r>
      <w:r>
        <w:rPr>
          <w:rFonts w:ascii="Verdana" w:hAnsi="Verdana"/>
          <w:sz w:val="20"/>
          <w:szCs w:val="20"/>
        </w:rPr>
        <w:t xml:space="preserve">DBP </w:t>
      </w:r>
      <w:r w:rsidRPr="006B5035">
        <w:rPr>
          <w:rFonts w:ascii="Verdana" w:hAnsi="Verdana"/>
          <w:sz w:val="20"/>
          <w:szCs w:val="20"/>
        </w:rPr>
        <w:t>Act.</w:t>
      </w:r>
      <w:r w:rsidRPr="006B5035">
        <w:rPr>
          <w:rFonts w:ascii="Verdana" w:eastAsia="Times New Roman" w:hAnsi="Verdana"/>
          <w:sz w:val="20"/>
          <w:szCs w:val="20"/>
        </w:rPr>
        <w:t xml:space="preserve"> </w:t>
      </w:r>
      <w:r w:rsidRPr="006B5035">
        <w:rPr>
          <w:rFonts w:ascii="Verdana" w:hAnsi="Verdana"/>
          <w:sz w:val="20"/>
          <w:szCs w:val="20"/>
        </w:rPr>
        <w:t>PI insurance policies cover you for the provision of professional services noted in the policy schedule (e.g. Architecture). If your experience and professional expertise extended to the provision of services under the Act, your PI insurance policy would be expected cover you for your obligations under it, subject to the other terms and conditions of your PI insurance policy</w:t>
      </w:r>
      <w:r>
        <w:rPr>
          <w:rFonts w:ascii="Verdana" w:hAnsi="Verdana"/>
          <w:sz w:val="20"/>
          <w:szCs w:val="20"/>
        </w:rPr>
        <w:t>. If you are concerned as to the amount of coverage your PI insurance provides</w:t>
      </w:r>
      <w:r w:rsidR="006C498D">
        <w:rPr>
          <w:rFonts w:ascii="Verdana" w:hAnsi="Verdana"/>
          <w:sz w:val="20"/>
          <w:szCs w:val="20"/>
        </w:rPr>
        <w:t>,</w:t>
      </w:r>
      <w:r>
        <w:rPr>
          <w:rFonts w:ascii="Verdana" w:hAnsi="Verdana"/>
          <w:sz w:val="20"/>
          <w:szCs w:val="20"/>
        </w:rPr>
        <w:t xml:space="preserve"> then please discuss this with your broker or insurer.</w:t>
      </w:r>
    </w:p>
    <w:p w14:paraId="45BB662C" w14:textId="295C23C8" w:rsidR="00C34B6A" w:rsidRPr="00283D51" w:rsidRDefault="00C34B6A" w:rsidP="001B7A85">
      <w:pPr>
        <w:rPr>
          <w:rFonts w:ascii="Verdana" w:hAnsi="Verdana"/>
          <w:b/>
          <w:bCs/>
          <w:i/>
          <w:iCs/>
          <w:sz w:val="20"/>
          <w:szCs w:val="20"/>
        </w:rPr>
      </w:pPr>
      <w:r w:rsidRPr="00283D51">
        <w:rPr>
          <w:rFonts w:ascii="Verdana" w:hAnsi="Verdana"/>
          <w:b/>
          <w:bCs/>
          <w:i/>
          <w:iCs/>
          <w:sz w:val="20"/>
          <w:szCs w:val="20"/>
        </w:rPr>
        <w:t>Retrospective application</w:t>
      </w:r>
      <w:r w:rsidR="008035E7">
        <w:rPr>
          <w:rFonts w:ascii="Verdana" w:hAnsi="Verdana"/>
          <w:b/>
          <w:bCs/>
          <w:i/>
          <w:iCs/>
          <w:sz w:val="20"/>
          <w:szCs w:val="20"/>
        </w:rPr>
        <w:t xml:space="preserve"> of duty of care</w:t>
      </w:r>
    </w:p>
    <w:p w14:paraId="02FDDBA5" w14:textId="6A7C32F3" w:rsidR="00AC4E8C" w:rsidRDefault="00AC4E8C" w:rsidP="001B7A85">
      <w:pPr>
        <w:rPr>
          <w:rFonts w:ascii="Verdana" w:eastAsia="Times New Roman" w:hAnsi="Verdana" w:cs="Calibri"/>
          <w:sz w:val="20"/>
          <w:szCs w:val="20"/>
          <w:lang w:eastAsia="en-AU"/>
        </w:rPr>
      </w:pPr>
      <w:r w:rsidRPr="008035E7">
        <w:rPr>
          <w:rFonts w:ascii="Verdana" w:eastAsia="Times New Roman" w:hAnsi="Verdana" w:cs="Calibri"/>
          <w:noProof/>
          <w:sz w:val="20"/>
          <w:szCs w:val="20"/>
          <w:lang w:eastAsia="en-AU"/>
        </w:rPr>
        <mc:AlternateContent>
          <mc:Choice Requires="wps">
            <w:drawing>
              <wp:anchor distT="45720" distB="45720" distL="114300" distR="114300" simplePos="0" relativeHeight="251661312" behindDoc="0" locked="0" layoutInCell="1" allowOverlap="1" wp14:anchorId="68BECE69" wp14:editId="1B58C130">
                <wp:simplePos x="0" y="0"/>
                <wp:positionH relativeFrom="column">
                  <wp:posOffset>447675</wp:posOffset>
                </wp:positionH>
                <wp:positionV relativeFrom="paragraph">
                  <wp:posOffset>61595</wp:posOffset>
                </wp:positionV>
                <wp:extent cx="4591050" cy="14097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409700"/>
                        </a:xfrm>
                        <a:prstGeom prst="rect">
                          <a:avLst/>
                        </a:prstGeom>
                        <a:solidFill>
                          <a:srgbClr val="FFFFFF"/>
                        </a:solidFill>
                        <a:ln w="9525">
                          <a:solidFill>
                            <a:srgbClr val="000000"/>
                          </a:solidFill>
                          <a:miter lim="800000"/>
                          <a:headEnd/>
                          <a:tailEnd/>
                        </a:ln>
                      </wps:spPr>
                      <wps:txbx>
                        <w:txbxContent>
                          <w:p w14:paraId="15A4F934" w14:textId="77777777" w:rsidR="008035E7" w:rsidRPr="004624D7" w:rsidRDefault="008035E7" w:rsidP="008035E7">
                            <w:pPr>
                              <w:rPr>
                                <w:rFonts w:ascii="Verdana" w:eastAsia="Times New Roman" w:hAnsi="Verdana" w:cs="Calibri"/>
                                <w:i/>
                                <w:iCs/>
                                <w:sz w:val="20"/>
                                <w:szCs w:val="20"/>
                                <w:lang w:eastAsia="en-AU"/>
                              </w:rPr>
                            </w:pPr>
                            <w:r w:rsidRPr="004624D7">
                              <w:rPr>
                                <w:rFonts w:ascii="Verdana" w:eastAsia="Times New Roman" w:hAnsi="Verdana" w:cs="Calibri"/>
                                <w:i/>
                                <w:iCs/>
                                <w:sz w:val="20"/>
                                <w:szCs w:val="20"/>
                                <w:lang w:eastAsia="en-AU"/>
                              </w:rPr>
                              <w:t>The duty applies to economic loss caused by a breach of the duty of care under the DBP Act if:</w:t>
                            </w:r>
                          </w:p>
                          <w:p w14:paraId="74F8FADB" w14:textId="4608251C" w:rsidR="008035E7" w:rsidRPr="004624D7" w:rsidRDefault="008035E7" w:rsidP="008035E7">
                            <w:pPr>
                              <w:pStyle w:val="ListParagraph"/>
                              <w:numPr>
                                <w:ilvl w:val="0"/>
                                <w:numId w:val="1"/>
                              </w:numPr>
                              <w:rPr>
                                <w:rFonts w:ascii="Verdana" w:eastAsia="Times New Roman" w:hAnsi="Verdana" w:cs="Calibri"/>
                                <w:i/>
                                <w:iCs/>
                                <w:sz w:val="20"/>
                                <w:szCs w:val="20"/>
                                <w:lang w:eastAsia="en-AU"/>
                              </w:rPr>
                            </w:pPr>
                            <w:r w:rsidRPr="004624D7">
                              <w:rPr>
                                <w:rFonts w:ascii="Verdana" w:eastAsia="Times New Roman" w:hAnsi="Verdana" w:cs="Calibri"/>
                                <w:i/>
                                <w:iCs/>
                                <w:sz w:val="20"/>
                                <w:szCs w:val="20"/>
                                <w:lang w:eastAsia="en-AU"/>
                              </w:rPr>
                              <w:t>The loss first became apparent within the 10 years immediately before the commencement of s37 of the Act (i.e. immediately before 10 June 202</w:t>
                            </w:r>
                            <w:r w:rsidR="008B20DB">
                              <w:rPr>
                                <w:rFonts w:ascii="Verdana" w:eastAsia="Times New Roman" w:hAnsi="Verdana" w:cs="Calibri"/>
                                <w:i/>
                                <w:iCs/>
                                <w:sz w:val="20"/>
                                <w:szCs w:val="20"/>
                                <w:lang w:eastAsia="en-AU"/>
                              </w:rPr>
                              <w:t>0</w:t>
                            </w:r>
                            <w:r w:rsidRPr="004624D7">
                              <w:rPr>
                                <w:rFonts w:ascii="Verdana" w:eastAsia="Times New Roman" w:hAnsi="Verdana" w:cs="Calibri"/>
                                <w:i/>
                                <w:iCs/>
                                <w:sz w:val="20"/>
                                <w:szCs w:val="20"/>
                                <w:lang w:eastAsia="en-AU"/>
                              </w:rPr>
                              <w:t>) or</w:t>
                            </w:r>
                          </w:p>
                          <w:p w14:paraId="0EBCA1E4" w14:textId="7FFD646E" w:rsidR="008035E7" w:rsidRPr="004624D7" w:rsidRDefault="008035E7" w:rsidP="008035E7">
                            <w:pPr>
                              <w:pStyle w:val="ListParagraph"/>
                              <w:numPr>
                                <w:ilvl w:val="0"/>
                                <w:numId w:val="1"/>
                              </w:numPr>
                              <w:rPr>
                                <w:rFonts w:ascii="Verdana" w:eastAsia="Times New Roman" w:hAnsi="Verdana" w:cs="Calibri"/>
                                <w:i/>
                                <w:iCs/>
                                <w:sz w:val="20"/>
                                <w:szCs w:val="20"/>
                                <w:lang w:eastAsia="en-AU"/>
                              </w:rPr>
                            </w:pPr>
                            <w:r w:rsidRPr="004624D7">
                              <w:rPr>
                                <w:rFonts w:ascii="Verdana" w:eastAsia="Times New Roman" w:hAnsi="Verdana" w:cs="Calibri"/>
                                <w:i/>
                                <w:iCs/>
                                <w:sz w:val="20"/>
                                <w:szCs w:val="20"/>
                                <w:lang w:eastAsia="en-AU"/>
                              </w:rPr>
                              <w:t>The loss first becomes apparent on or after the commencements of s37 of the DBP Act.</w:t>
                            </w:r>
                          </w:p>
                          <w:p w14:paraId="679ED808" w14:textId="3FC22227" w:rsidR="008035E7" w:rsidRDefault="008035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ECE69" id="_x0000_s1027" type="#_x0000_t202" style="position:absolute;margin-left:35.25pt;margin-top:4.85pt;width:361.5pt;height:11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">
                <v:textbox>
                  <w:txbxContent>
                    <w:p w14:paraId="15A4F934" w14:textId="77777777" w:rsidR="008035E7" w:rsidRPr="004624D7" w:rsidRDefault="008035E7" w:rsidP="008035E7">
                      <w:pPr>
                        <w:rPr>
                          <w:rFonts w:ascii="Verdana" w:eastAsia="Times New Roman" w:hAnsi="Verdana" w:cs="Calibri"/>
                          <w:i/>
                          <w:iCs/>
                          <w:sz w:val="20"/>
                          <w:szCs w:val="20"/>
                          <w:lang w:eastAsia="en-AU"/>
                        </w:rPr>
                      </w:pPr>
                      <w:r w:rsidRPr="004624D7">
                        <w:rPr>
                          <w:rFonts w:ascii="Verdana" w:eastAsia="Times New Roman" w:hAnsi="Verdana" w:cs="Calibri"/>
                          <w:i/>
                          <w:iCs/>
                          <w:sz w:val="20"/>
                          <w:szCs w:val="20"/>
                          <w:lang w:eastAsia="en-AU"/>
                        </w:rPr>
                        <w:t>The duty applies to economic loss caused by a breach of the duty of care under the DBP Act if:</w:t>
                      </w:r>
                    </w:p>
                    <w:p w14:paraId="74F8FADB" w14:textId="4608251C" w:rsidR="008035E7" w:rsidRPr="004624D7" w:rsidRDefault="008035E7" w:rsidP="008035E7">
                      <w:pPr>
                        <w:pStyle w:val="ListParagraph"/>
                        <w:numPr>
                          <w:ilvl w:val="0"/>
                          <w:numId w:val="1"/>
                        </w:numPr>
                        <w:rPr>
                          <w:rFonts w:ascii="Verdana" w:eastAsia="Times New Roman" w:hAnsi="Verdana" w:cs="Calibri"/>
                          <w:i/>
                          <w:iCs/>
                          <w:sz w:val="20"/>
                          <w:szCs w:val="20"/>
                          <w:lang w:eastAsia="en-AU"/>
                        </w:rPr>
                      </w:pPr>
                      <w:r w:rsidRPr="004624D7">
                        <w:rPr>
                          <w:rFonts w:ascii="Verdana" w:eastAsia="Times New Roman" w:hAnsi="Verdana" w:cs="Calibri"/>
                          <w:i/>
                          <w:iCs/>
                          <w:sz w:val="20"/>
                          <w:szCs w:val="20"/>
                          <w:lang w:eastAsia="en-AU"/>
                        </w:rPr>
                        <w:t>The loss first became apparent within the 10 years immediately before the commencement of s37 of the Act (i.e. immediately before 10 June 202</w:t>
                      </w:r>
                      <w:r w:rsidR="008B20DB">
                        <w:rPr>
                          <w:rFonts w:ascii="Verdana" w:eastAsia="Times New Roman" w:hAnsi="Verdana" w:cs="Calibri"/>
                          <w:i/>
                          <w:iCs/>
                          <w:sz w:val="20"/>
                          <w:szCs w:val="20"/>
                          <w:lang w:eastAsia="en-AU"/>
                        </w:rPr>
                        <w:t>0</w:t>
                      </w:r>
                      <w:r w:rsidRPr="004624D7">
                        <w:rPr>
                          <w:rFonts w:ascii="Verdana" w:eastAsia="Times New Roman" w:hAnsi="Verdana" w:cs="Calibri"/>
                          <w:i/>
                          <w:iCs/>
                          <w:sz w:val="20"/>
                          <w:szCs w:val="20"/>
                          <w:lang w:eastAsia="en-AU"/>
                        </w:rPr>
                        <w:t>) or</w:t>
                      </w:r>
                    </w:p>
                    <w:p w14:paraId="0EBCA1E4" w14:textId="7FFD646E" w:rsidR="008035E7" w:rsidRPr="004624D7" w:rsidRDefault="008035E7" w:rsidP="008035E7">
                      <w:pPr>
                        <w:pStyle w:val="ListParagraph"/>
                        <w:numPr>
                          <w:ilvl w:val="0"/>
                          <w:numId w:val="1"/>
                        </w:numPr>
                        <w:rPr>
                          <w:rFonts w:ascii="Verdana" w:eastAsia="Times New Roman" w:hAnsi="Verdana" w:cs="Calibri"/>
                          <w:i/>
                          <w:iCs/>
                          <w:sz w:val="20"/>
                          <w:szCs w:val="20"/>
                          <w:lang w:eastAsia="en-AU"/>
                        </w:rPr>
                      </w:pPr>
                      <w:r w:rsidRPr="004624D7">
                        <w:rPr>
                          <w:rFonts w:ascii="Verdana" w:eastAsia="Times New Roman" w:hAnsi="Verdana" w:cs="Calibri"/>
                          <w:i/>
                          <w:iCs/>
                          <w:sz w:val="20"/>
                          <w:szCs w:val="20"/>
                          <w:lang w:eastAsia="en-AU"/>
                        </w:rPr>
                        <w:t>The loss first becomes apparent on or after the commencements of s37 of the DBP Act.</w:t>
                      </w:r>
                    </w:p>
                    <w:p w14:paraId="679ED808" w14:textId="3FC22227" w:rsidR="008035E7" w:rsidRDefault="008035E7"/>
                  </w:txbxContent>
                </v:textbox>
                <w10:wrap type="square"/>
              </v:shape>
            </w:pict>
          </mc:Fallback>
        </mc:AlternateContent>
      </w:r>
    </w:p>
    <w:p w14:paraId="2F7BBFB1" w14:textId="1D740F49" w:rsidR="00AC4E8C" w:rsidRDefault="00AC4E8C" w:rsidP="001B7A85">
      <w:pPr>
        <w:rPr>
          <w:rFonts w:ascii="Verdana" w:eastAsia="Times New Roman" w:hAnsi="Verdana" w:cs="Calibri"/>
          <w:sz w:val="20"/>
          <w:szCs w:val="20"/>
          <w:lang w:eastAsia="en-AU"/>
        </w:rPr>
      </w:pPr>
    </w:p>
    <w:p w14:paraId="7530D4BB" w14:textId="77777777" w:rsidR="00AC4E8C" w:rsidRDefault="00AC4E8C" w:rsidP="001B7A85">
      <w:pPr>
        <w:rPr>
          <w:rFonts w:ascii="Verdana" w:eastAsia="Times New Roman" w:hAnsi="Verdana" w:cs="Calibri"/>
          <w:sz w:val="20"/>
          <w:szCs w:val="20"/>
          <w:lang w:eastAsia="en-AU"/>
        </w:rPr>
      </w:pPr>
    </w:p>
    <w:p w14:paraId="4A81406E" w14:textId="77777777" w:rsidR="00AC4E8C" w:rsidRDefault="00AC4E8C" w:rsidP="001B7A85">
      <w:pPr>
        <w:rPr>
          <w:rFonts w:ascii="Verdana" w:eastAsia="Times New Roman" w:hAnsi="Verdana" w:cs="Calibri"/>
          <w:sz w:val="20"/>
          <w:szCs w:val="20"/>
          <w:lang w:eastAsia="en-AU"/>
        </w:rPr>
      </w:pPr>
    </w:p>
    <w:p w14:paraId="79DF3A25" w14:textId="77777777" w:rsidR="00AC4E8C" w:rsidRDefault="00AC4E8C" w:rsidP="001B7A85">
      <w:pPr>
        <w:rPr>
          <w:rFonts w:ascii="Verdana" w:eastAsia="Times New Roman" w:hAnsi="Verdana" w:cs="Calibri"/>
          <w:sz w:val="20"/>
          <w:szCs w:val="20"/>
          <w:lang w:eastAsia="en-AU"/>
        </w:rPr>
      </w:pPr>
    </w:p>
    <w:p w14:paraId="726FF928" w14:textId="5D0E1A8D" w:rsidR="00AC4E8C" w:rsidRDefault="00AC4E8C" w:rsidP="001B7A85">
      <w:pPr>
        <w:rPr>
          <w:rFonts w:ascii="Verdana" w:eastAsia="Times New Roman" w:hAnsi="Verdana" w:cs="Calibri"/>
          <w:sz w:val="20"/>
          <w:szCs w:val="20"/>
          <w:lang w:eastAsia="en-AU"/>
        </w:rPr>
      </w:pPr>
    </w:p>
    <w:p w14:paraId="203C71A9" w14:textId="57842477" w:rsidR="008035E7" w:rsidRDefault="00C34B6A" w:rsidP="00496F10">
      <w:pPr>
        <w:rPr>
          <w:rFonts w:ascii="Verdana" w:eastAsia="Times New Roman" w:hAnsi="Verdana" w:cs="Calibri"/>
          <w:sz w:val="20"/>
          <w:szCs w:val="20"/>
          <w:lang w:eastAsia="en-AU"/>
        </w:rPr>
      </w:pPr>
      <w:r w:rsidRPr="006B5035">
        <w:rPr>
          <w:rFonts w:ascii="Verdana" w:eastAsia="Times New Roman" w:hAnsi="Verdana" w:cs="Calibri"/>
          <w:sz w:val="20"/>
          <w:szCs w:val="20"/>
          <w:lang w:eastAsia="en-AU"/>
        </w:rPr>
        <w:t>I</w:t>
      </w:r>
      <w:r w:rsidR="001B7A85" w:rsidRPr="006B5035">
        <w:rPr>
          <w:rFonts w:ascii="Verdana" w:eastAsia="Times New Roman" w:hAnsi="Verdana" w:cs="Calibri"/>
          <w:sz w:val="20"/>
          <w:szCs w:val="20"/>
          <w:lang w:eastAsia="en-AU"/>
        </w:rPr>
        <w:t>mportant</w:t>
      </w:r>
      <w:r w:rsidRPr="006B5035">
        <w:rPr>
          <w:rFonts w:ascii="Verdana" w:eastAsia="Times New Roman" w:hAnsi="Verdana" w:cs="Calibri"/>
          <w:sz w:val="20"/>
          <w:szCs w:val="20"/>
          <w:lang w:eastAsia="en-AU"/>
        </w:rPr>
        <w:t>ly</w:t>
      </w:r>
      <w:r w:rsidR="00D217AC">
        <w:rPr>
          <w:rFonts w:ascii="Verdana" w:eastAsia="Times New Roman" w:hAnsi="Verdana" w:cs="Calibri"/>
          <w:sz w:val="20"/>
          <w:szCs w:val="20"/>
          <w:lang w:eastAsia="en-AU"/>
        </w:rPr>
        <w:t>,</w:t>
      </w:r>
      <w:r w:rsidR="001B7A85" w:rsidRPr="006B5035">
        <w:rPr>
          <w:rFonts w:ascii="Verdana" w:eastAsia="Times New Roman" w:hAnsi="Verdana" w:cs="Calibri"/>
          <w:sz w:val="20"/>
          <w:szCs w:val="20"/>
          <w:lang w:eastAsia="en-AU"/>
        </w:rPr>
        <w:t xml:space="preserve"> the</w:t>
      </w:r>
      <w:r w:rsidRPr="006B5035">
        <w:rPr>
          <w:rFonts w:ascii="Verdana" w:eastAsia="Times New Roman" w:hAnsi="Verdana" w:cs="Calibri"/>
          <w:sz w:val="20"/>
          <w:szCs w:val="20"/>
          <w:lang w:eastAsia="en-AU"/>
        </w:rPr>
        <w:t xml:space="preserve"> duty of care obligations</w:t>
      </w:r>
      <w:r w:rsidR="001B7A85" w:rsidRPr="006B5035">
        <w:rPr>
          <w:rFonts w:ascii="Verdana" w:eastAsia="Times New Roman" w:hAnsi="Verdana" w:cs="Calibri"/>
          <w:sz w:val="20"/>
          <w:szCs w:val="20"/>
          <w:lang w:eastAsia="en-AU"/>
        </w:rPr>
        <w:t xml:space="preserve"> </w:t>
      </w:r>
      <w:r w:rsidR="00B17104">
        <w:rPr>
          <w:rFonts w:ascii="Verdana" w:eastAsia="Times New Roman" w:hAnsi="Verdana" w:cs="Calibri"/>
          <w:sz w:val="20"/>
          <w:szCs w:val="20"/>
          <w:lang w:eastAsia="en-AU"/>
        </w:rPr>
        <w:t xml:space="preserve">in s37 </w:t>
      </w:r>
      <w:r w:rsidRPr="006B5035">
        <w:rPr>
          <w:rFonts w:ascii="Verdana" w:eastAsia="Times New Roman" w:hAnsi="Verdana" w:cs="Calibri"/>
          <w:sz w:val="20"/>
          <w:szCs w:val="20"/>
          <w:lang w:eastAsia="en-AU"/>
        </w:rPr>
        <w:t>apply</w:t>
      </w:r>
      <w:r w:rsidR="001B7A85" w:rsidRPr="006B5035">
        <w:rPr>
          <w:rFonts w:ascii="Verdana" w:eastAsia="Times New Roman" w:hAnsi="Verdana" w:cs="Calibri"/>
          <w:sz w:val="20"/>
          <w:szCs w:val="20"/>
          <w:lang w:eastAsia="en-AU"/>
        </w:rPr>
        <w:t xml:space="preserve"> retrospective</w:t>
      </w:r>
      <w:r w:rsidR="00246F28">
        <w:rPr>
          <w:rFonts w:ascii="Verdana" w:eastAsia="Times New Roman" w:hAnsi="Verdana" w:cs="Calibri"/>
          <w:sz w:val="20"/>
          <w:szCs w:val="20"/>
          <w:lang w:eastAsia="en-AU"/>
        </w:rPr>
        <w:t>ly</w:t>
      </w:r>
      <w:r w:rsidR="008035E7">
        <w:rPr>
          <w:rFonts w:ascii="Verdana" w:eastAsia="Times New Roman" w:hAnsi="Verdana" w:cs="Calibri"/>
          <w:sz w:val="20"/>
          <w:szCs w:val="20"/>
          <w:lang w:eastAsia="en-AU"/>
        </w:rPr>
        <w:t xml:space="preserve">. Specifically, </w:t>
      </w:r>
      <w:r w:rsidR="006864C1">
        <w:rPr>
          <w:rFonts w:ascii="Verdana" w:eastAsia="Times New Roman" w:hAnsi="Verdana" w:cs="Calibri"/>
          <w:sz w:val="20"/>
          <w:szCs w:val="20"/>
          <w:lang w:eastAsia="en-AU"/>
        </w:rPr>
        <w:t>the</w:t>
      </w:r>
      <w:r w:rsidRPr="006B5035">
        <w:rPr>
          <w:rFonts w:ascii="Verdana" w:eastAsia="Times New Roman" w:hAnsi="Verdana" w:cs="Calibri"/>
          <w:sz w:val="20"/>
          <w:szCs w:val="20"/>
          <w:lang w:eastAsia="en-AU"/>
        </w:rPr>
        <w:t xml:space="preserve"> </w:t>
      </w:r>
      <w:r w:rsidR="00246F28">
        <w:rPr>
          <w:rFonts w:ascii="Verdana" w:eastAsia="Times New Roman" w:hAnsi="Verdana" w:cs="Calibri"/>
          <w:sz w:val="20"/>
          <w:szCs w:val="20"/>
          <w:lang w:eastAsia="en-AU"/>
        </w:rPr>
        <w:t xml:space="preserve">DBP </w:t>
      </w:r>
      <w:r w:rsidRPr="006B5035">
        <w:rPr>
          <w:rFonts w:ascii="Verdana" w:eastAsia="Times New Roman" w:hAnsi="Verdana" w:cs="Calibri"/>
          <w:sz w:val="20"/>
          <w:szCs w:val="20"/>
          <w:lang w:eastAsia="en-AU"/>
        </w:rPr>
        <w:t xml:space="preserve">Act states </w:t>
      </w:r>
      <w:r w:rsidR="00246F28">
        <w:rPr>
          <w:rFonts w:ascii="Verdana" w:eastAsia="Times New Roman" w:hAnsi="Verdana" w:cs="Calibri"/>
          <w:sz w:val="20"/>
          <w:szCs w:val="20"/>
          <w:lang w:eastAsia="en-AU"/>
        </w:rPr>
        <w:t xml:space="preserve">that </w:t>
      </w:r>
      <w:r w:rsidRPr="006B5035">
        <w:rPr>
          <w:rFonts w:ascii="Verdana" w:eastAsia="Times New Roman" w:hAnsi="Verdana" w:cs="Calibri"/>
          <w:sz w:val="20"/>
          <w:szCs w:val="20"/>
          <w:lang w:eastAsia="en-AU"/>
        </w:rPr>
        <w:t>Part 4 extends to construction work</w:t>
      </w:r>
      <w:r w:rsidR="008035E7">
        <w:rPr>
          <w:rFonts w:ascii="Verdana" w:eastAsia="Times New Roman" w:hAnsi="Verdana" w:cs="Calibri"/>
          <w:sz w:val="20"/>
          <w:szCs w:val="20"/>
          <w:lang w:eastAsia="en-AU"/>
        </w:rPr>
        <w:t xml:space="preserve"> </w:t>
      </w:r>
      <w:r w:rsidRPr="006B5035">
        <w:rPr>
          <w:rFonts w:ascii="Verdana" w:eastAsia="Times New Roman" w:hAnsi="Verdana" w:cs="Calibri"/>
          <w:sz w:val="20"/>
          <w:szCs w:val="20"/>
          <w:lang w:eastAsia="en-AU"/>
        </w:rPr>
        <w:t xml:space="preserve">carried out before the commencements of </w:t>
      </w:r>
      <w:r w:rsidR="008035E7">
        <w:rPr>
          <w:rFonts w:ascii="Verdana" w:eastAsia="Times New Roman" w:hAnsi="Verdana" w:cs="Calibri"/>
          <w:sz w:val="20"/>
          <w:szCs w:val="20"/>
          <w:lang w:eastAsia="en-AU"/>
        </w:rPr>
        <w:t>the</w:t>
      </w:r>
      <w:r w:rsidRPr="006B5035">
        <w:rPr>
          <w:rFonts w:ascii="Verdana" w:eastAsia="Times New Roman" w:hAnsi="Verdana" w:cs="Calibri"/>
          <w:sz w:val="20"/>
          <w:szCs w:val="20"/>
          <w:lang w:eastAsia="en-AU"/>
        </w:rPr>
        <w:t xml:space="preserve"> </w:t>
      </w:r>
      <w:r w:rsidR="00246F28">
        <w:rPr>
          <w:rFonts w:ascii="Verdana" w:eastAsia="Times New Roman" w:hAnsi="Verdana" w:cs="Calibri"/>
          <w:sz w:val="20"/>
          <w:szCs w:val="20"/>
          <w:lang w:eastAsia="en-AU"/>
        </w:rPr>
        <w:t>DBP</w:t>
      </w:r>
      <w:r w:rsidR="004408E9">
        <w:rPr>
          <w:rFonts w:ascii="Verdana" w:eastAsia="Times New Roman" w:hAnsi="Verdana" w:cs="Calibri"/>
          <w:sz w:val="20"/>
          <w:szCs w:val="20"/>
          <w:lang w:eastAsia="en-AU"/>
        </w:rPr>
        <w:t xml:space="preserve"> </w:t>
      </w:r>
      <w:r w:rsidRPr="006B5035">
        <w:rPr>
          <w:rFonts w:ascii="Verdana" w:eastAsia="Times New Roman" w:hAnsi="Verdana" w:cs="Calibri"/>
          <w:sz w:val="20"/>
          <w:szCs w:val="20"/>
          <w:lang w:eastAsia="en-AU"/>
        </w:rPr>
        <w:t>Act as if th</w:t>
      </w:r>
      <w:r w:rsidR="00496F10" w:rsidRPr="006B5035">
        <w:rPr>
          <w:rFonts w:ascii="Verdana" w:eastAsia="Times New Roman" w:hAnsi="Verdana" w:cs="Calibri"/>
          <w:sz w:val="20"/>
          <w:szCs w:val="20"/>
          <w:lang w:eastAsia="en-AU"/>
        </w:rPr>
        <w:t>at</w:t>
      </w:r>
      <w:r w:rsidRPr="006B5035">
        <w:rPr>
          <w:rFonts w:ascii="Verdana" w:eastAsia="Times New Roman" w:hAnsi="Verdana" w:cs="Calibri"/>
          <w:sz w:val="20"/>
          <w:szCs w:val="20"/>
          <w:lang w:eastAsia="en-AU"/>
        </w:rPr>
        <w:t xml:space="preserve"> duty of care</w:t>
      </w:r>
      <w:r w:rsidR="00496F10" w:rsidRPr="006B5035">
        <w:rPr>
          <w:rFonts w:ascii="Verdana" w:eastAsia="Times New Roman" w:hAnsi="Verdana" w:cs="Calibri"/>
          <w:sz w:val="20"/>
          <w:szCs w:val="20"/>
          <w:lang w:eastAsia="en-AU"/>
        </w:rPr>
        <w:t xml:space="preserve"> was owed by the person carrying out construction work to the owner of the land and to the subsequent owner of the land when the construction work was carried out.</w:t>
      </w:r>
    </w:p>
    <w:p w14:paraId="36D0315B" w14:textId="630A3B8A" w:rsidR="006C498D" w:rsidRPr="006B5035" w:rsidRDefault="00496F10" w:rsidP="00496F10">
      <w:pPr>
        <w:rPr>
          <w:rFonts w:ascii="Verdana" w:eastAsia="Times New Roman" w:hAnsi="Verdana" w:cs="Calibri"/>
          <w:sz w:val="20"/>
          <w:szCs w:val="20"/>
          <w:lang w:eastAsia="en-AU"/>
        </w:rPr>
      </w:pPr>
      <w:r w:rsidRPr="006B5035">
        <w:rPr>
          <w:rFonts w:ascii="Verdana" w:eastAsia="Times New Roman" w:hAnsi="Verdana" w:cs="Calibri"/>
          <w:sz w:val="20"/>
          <w:szCs w:val="20"/>
          <w:lang w:eastAsia="en-AU"/>
        </w:rPr>
        <w:lastRenderedPageBreak/>
        <w:t xml:space="preserve">The </w:t>
      </w:r>
      <w:r w:rsidR="00246F28">
        <w:rPr>
          <w:rFonts w:ascii="Verdana" w:eastAsia="Times New Roman" w:hAnsi="Verdana" w:cs="Calibri"/>
          <w:sz w:val="20"/>
          <w:szCs w:val="20"/>
          <w:lang w:eastAsia="en-AU"/>
        </w:rPr>
        <w:t xml:space="preserve">DBP </w:t>
      </w:r>
      <w:r w:rsidRPr="006B5035">
        <w:rPr>
          <w:rFonts w:ascii="Verdana" w:eastAsia="Times New Roman" w:hAnsi="Verdana" w:cs="Calibri"/>
          <w:sz w:val="20"/>
          <w:szCs w:val="20"/>
          <w:lang w:eastAsia="en-AU"/>
        </w:rPr>
        <w:t xml:space="preserve">Act states that the loss is </w:t>
      </w:r>
      <w:r w:rsidR="00D217AC">
        <w:rPr>
          <w:rFonts w:ascii="Verdana" w:eastAsia="Times New Roman" w:hAnsi="Verdana" w:cs="Calibri"/>
          <w:sz w:val="20"/>
          <w:szCs w:val="20"/>
          <w:lang w:eastAsia="en-AU"/>
        </w:rPr>
        <w:t>‘</w:t>
      </w:r>
      <w:r w:rsidRPr="006B5035">
        <w:rPr>
          <w:rFonts w:ascii="Verdana" w:eastAsia="Times New Roman" w:hAnsi="Verdana" w:cs="Calibri"/>
          <w:sz w:val="20"/>
          <w:szCs w:val="20"/>
          <w:lang w:eastAsia="en-AU"/>
        </w:rPr>
        <w:t>apparent</w:t>
      </w:r>
      <w:r w:rsidR="00D217AC">
        <w:rPr>
          <w:rFonts w:ascii="Verdana" w:eastAsia="Times New Roman" w:hAnsi="Verdana" w:cs="Calibri"/>
          <w:sz w:val="20"/>
          <w:szCs w:val="20"/>
          <w:lang w:eastAsia="en-AU"/>
        </w:rPr>
        <w:t>’</w:t>
      </w:r>
      <w:r w:rsidRPr="006B5035">
        <w:rPr>
          <w:rFonts w:ascii="Verdana" w:eastAsia="Times New Roman" w:hAnsi="Verdana" w:cs="Calibri"/>
          <w:sz w:val="20"/>
          <w:szCs w:val="20"/>
          <w:lang w:eastAsia="en-AU"/>
        </w:rPr>
        <w:t xml:space="preserve"> when an owner first becomes awa</w:t>
      </w:r>
      <w:r w:rsidR="00246F28">
        <w:rPr>
          <w:rFonts w:ascii="Verdana" w:eastAsia="Times New Roman" w:hAnsi="Verdana" w:cs="Calibri"/>
          <w:sz w:val="20"/>
          <w:szCs w:val="20"/>
          <w:lang w:eastAsia="en-AU"/>
        </w:rPr>
        <w:t>re</w:t>
      </w:r>
      <w:r w:rsidRPr="006B5035">
        <w:rPr>
          <w:rFonts w:ascii="Verdana" w:eastAsia="Times New Roman" w:hAnsi="Verdana" w:cs="Calibri"/>
          <w:sz w:val="20"/>
          <w:szCs w:val="20"/>
          <w:lang w:eastAsia="en-AU"/>
        </w:rPr>
        <w:t xml:space="preserve"> (or ought reasonably to have become aware) of the loss</w:t>
      </w:r>
      <w:r w:rsidR="007F1908" w:rsidRPr="006B5035">
        <w:rPr>
          <w:rFonts w:ascii="Verdana" w:eastAsia="Times New Roman" w:hAnsi="Verdana" w:cs="Calibri"/>
          <w:sz w:val="20"/>
          <w:szCs w:val="20"/>
          <w:lang w:eastAsia="en-AU"/>
        </w:rPr>
        <w:t>.</w:t>
      </w:r>
      <w:r w:rsidR="00697F70">
        <w:rPr>
          <w:rFonts w:ascii="Verdana" w:eastAsia="Times New Roman" w:hAnsi="Verdana" w:cs="Calibri"/>
          <w:sz w:val="20"/>
          <w:szCs w:val="20"/>
          <w:lang w:eastAsia="en-AU"/>
        </w:rPr>
        <w:t xml:space="preserve"> For this reason, systematic and thorough record keeping, research and</w:t>
      </w:r>
      <w:r w:rsidR="00A458E3">
        <w:rPr>
          <w:rFonts w:ascii="Verdana" w:eastAsia="Times New Roman" w:hAnsi="Verdana" w:cs="Calibri"/>
          <w:sz w:val="20"/>
          <w:szCs w:val="20"/>
          <w:lang w:eastAsia="en-AU"/>
        </w:rPr>
        <w:t xml:space="preserve"> </w:t>
      </w:r>
      <w:r w:rsidR="00697F70">
        <w:rPr>
          <w:rFonts w:ascii="Verdana" w:eastAsia="Times New Roman" w:hAnsi="Verdana" w:cs="Calibri"/>
          <w:sz w:val="20"/>
          <w:szCs w:val="20"/>
          <w:lang w:eastAsia="en-AU"/>
        </w:rPr>
        <w:t>document management and retention</w:t>
      </w:r>
      <w:r w:rsidR="00A458E3">
        <w:rPr>
          <w:rFonts w:ascii="Verdana" w:eastAsia="Times New Roman" w:hAnsi="Verdana" w:cs="Calibri"/>
          <w:sz w:val="20"/>
          <w:szCs w:val="20"/>
          <w:lang w:eastAsia="en-AU"/>
        </w:rPr>
        <w:t xml:space="preserve"> are vital.</w:t>
      </w:r>
      <w:r w:rsidR="00D03EBF">
        <w:rPr>
          <w:rFonts w:ascii="Verdana" w:eastAsia="Times New Roman" w:hAnsi="Verdana" w:cs="Calibri"/>
          <w:sz w:val="20"/>
          <w:szCs w:val="20"/>
          <w:lang w:eastAsia="en-AU"/>
        </w:rPr>
        <w:t xml:space="preserve"> Make sure your consultancy agreements contain clauses that allow you to retain a copy of all documents for this reason.</w:t>
      </w:r>
    </w:p>
    <w:p w14:paraId="6B46EBB6" w14:textId="24052CE8" w:rsidR="00AC4E8C" w:rsidRDefault="00AC4E8C" w:rsidP="001B7A85">
      <w:pPr>
        <w:rPr>
          <w:rFonts w:ascii="Verdana" w:eastAsia="Times New Roman" w:hAnsi="Verdana" w:cs="Calibri"/>
          <w:b/>
          <w:bCs/>
          <w:sz w:val="20"/>
          <w:szCs w:val="20"/>
          <w:lang w:eastAsia="en-AU"/>
        </w:rPr>
      </w:pPr>
      <w:r>
        <w:rPr>
          <w:rFonts w:ascii="Verdana" w:eastAsia="Times New Roman" w:hAnsi="Verdana" w:cs="Calibri"/>
          <w:b/>
          <w:bCs/>
          <w:sz w:val="20"/>
          <w:szCs w:val="20"/>
          <w:lang w:eastAsia="en-AU"/>
        </w:rPr>
        <w:t>Does the</w:t>
      </w:r>
      <w:r w:rsidR="00D057EE">
        <w:rPr>
          <w:rFonts w:ascii="Verdana" w:eastAsia="Times New Roman" w:hAnsi="Verdana" w:cs="Calibri"/>
          <w:b/>
          <w:bCs/>
          <w:sz w:val="20"/>
          <w:szCs w:val="20"/>
          <w:lang w:eastAsia="en-AU"/>
        </w:rPr>
        <w:t xml:space="preserve"> duty of care obligation</w:t>
      </w:r>
      <w:r>
        <w:rPr>
          <w:rFonts w:ascii="Verdana" w:eastAsia="Times New Roman" w:hAnsi="Verdana" w:cs="Calibri"/>
          <w:b/>
          <w:bCs/>
          <w:sz w:val="20"/>
          <w:szCs w:val="20"/>
          <w:lang w:eastAsia="en-AU"/>
        </w:rPr>
        <w:t xml:space="preserve"> under the DBP Act</w:t>
      </w:r>
      <w:r w:rsidR="00D057EE">
        <w:rPr>
          <w:rFonts w:ascii="Verdana" w:eastAsia="Times New Roman" w:hAnsi="Verdana" w:cs="Calibri"/>
          <w:b/>
          <w:bCs/>
          <w:sz w:val="20"/>
          <w:szCs w:val="20"/>
          <w:lang w:eastAsia="en-AU"/>
        </w:rPr>
        <w:t xml:space="preserve"> extend beyond</w:t>
      </w:r>
      <w:r w:rsidR="007F1908" w:rsidRPr="006B5035">
        <w:rPr>
          <w:rFonts w:ascii="Verdana" w:eastAsia="Times New Roman" w:hAnsi="Verdana" w:cs="Calibri"/>
          <w:b/>
          <w:bCs/>
          <w:sz w:val="20"/>
          <w:szCs w:val="20"/>
          <w:lang w:eastAsia="en-AU"/>
        </w:rPr>
        <w:t xml:space="preserve"> class </w:t>
      </w:r>
      <w:r w:rsidR="00D07A1B">
        <w:rPr>
          <w:rFonts w:ascii="Verdana" w:eastAsia="Times New Roman" w:hAnsi="Verdana" w:cs="Calibri"/>
          <w:b/>
          <w:bCs/>
          <w:sz w:val="20"/>
          <w:szCs w:val="20"/>
          <w:lang w:eastAsia="en-AU"/>
        </w:rPr>
        <w:t>2</w:t>
      </w:r>
      <w:r w:rsidR="007F1908" w:rsidRPr="006B5035">
        <w:rPr>
          <w:rFonts w:ascii="Verdana" w:eastAsia="Times New Roman" w:hAnsi="Verdana" w:cs="Calibri"/>
          <w:b/>
          <w:bCs/>
          <w:sz w:val="20"/>
          <w:szCs w:val="20"/>
          <w:lang w:eastAsia="en-AU"/>
        </w:rPr>
        <w:t xml:space="preserve"> buildings</w:t>
      </w:r>
      <w:r w:rsidR="000B2EED" w:rsidRPr="006B5035">
        <w:rPr>
          <w:rFonts w:ascii="Verdana" w:eastAsia="Times New Roman" w:hAnsi="Verdana" w:cs="Calibri"/>
          <w:b/>
          <w:bCs/>
          <w:sz w:val="20"/>
          <w:szCs w:val="20"/>
          <w:lang w:eastAsia="en-AU"/>
        </w:rPr>
        <w:t>?</w:t>
      </w:r>
    </w:p>
    <w:p w14:paraId="5A555A43" w14:textId="0A928A4D" w:rsidR="00AC4E8C" w:rsidRDefault="00AC4E8C" w:rsidP="001B7A85">
      <w:pPr>
        <w:rPr>
          <w:rFonts w:ascii="Verdana" w:eastAsia="Times New Roman" w:hAnsi="Verdana" w:cs="Calibri"/>
          <w:b/>
          <w:bCs/>
          <w:sz w:val="20"/>
          <w:szCs w:val="20"/>
          <w:lang w:eastAsia="en-AU"/>
        </w:rPr>
      </w:pPr>
      <w:r w:rsidRPr="00AC4E8C">
        <w:rPr>
          <w:rFonts w:ascii="Verdana" w:eastAsia="Times New Roman" w:hAnsi="Verdana" w:cs="Calibri"/>
          <w:b/>
          <w:bCs/>
          <w:noProof/>
          <w:sz w:val="20"/>
          <w:szCs w:val="20"/>
          <w:lang w:eastAsia="en-AU"/>
        </w:rPr>
        <mc:AlternateContent>
          <mc:Choice Requires="wps">
            <w:drawing>
              <wp:anchor distT="45720" distB="45720" distL="114300" distR="114300" simplePos="0" relativeHeight="251663360" behindDoc="0" locked="0" layoutInCell="1" allowOverlap="1" wp14:anchorId="435F1996" wp14:editId="1CBBCD28">
                <wp:simplePos x="0" y="0"/>
                <wp:positionH relativeFrom="margin">
                  <wp:align>center</wp:align>
                </wp:positionH>
                <wp:positionV relativeFrom="paragraph">
                  <wp:posOffset>14605</wp:posOffset>
                </wp:positionV>
                <wp:extent cx="4572000" cy="8477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47725"/>
                        </a:xfrm>
                        <a:prstGeom prst="rect">
                          <a:avLst/>
                        </a:prstGeom>
                        <a:solidFill>
                          <a:srgbClr val="FFFFFF"/>
                        </a:solidFill>
                        <a:ln w="9525">
                          <a:solidFill>
                            <a:srgbClr val="000000"/>
                          </a:solidFill>
                          <a:miter lim="800000"/>
                          <a:headEnd/>
                          <a:tailEnd/>
                        </a:ln>
                      </wps:spPr>
                      <wps:txbx>
                        <w:txbxContent>
                          <w:p w14:paraId="25CBEBCC" w14:textId="12B12E48" w:rsidR="00AC4E8C" w:rsidRPr="00D03EBF" w:rsidRDefault="00AC4E8C">
                            <w:pPr>
                              <w:rPr>
                                <w:rFonts w:ascii="Verdana" w:hAnsi="Verdana"/>
                                <w:i/>
                                <w:iCs/>
                                <w:sz w:val="20"/>
                                <w:szCs w:val="20"/>
                              </w:rPr>
                            </w:pPr>
                            <w:r>
                              <w:rPr>
                                <w:rFonts w:ascii="Verdana" w:hAnsi="Verdana"/>
                                <w:i/>
                                <w:iCs/>
                                <w:sz w:val="20"/>
                                <w:szCs w:val="20"/>
                              </w:rPr>
                              <w:t>Yes</w:t>
                            </w:r>
                            <w:r w:rsidR="004624D7">
                              <w:rPr>
                                <w:rFonts w:ascii="Verdana" w:hAnsi="Verdana"/>
                                <w:i/>
                                <w:iCs/>
                                <w:sz w:val="20"/>
                                <w:szCs w:val="20"/>
                              </w:rPr>
                              <w:t>. T</w:t>
                            </w:r>
                            <w:r w:rsidRPr="00264DCC">
                              <w:rPr>
                                <w:rFonts w:ascii="Verdana" w:hAnsi="Verdana"/>
                                <w:i/>
                                <w:iCs/>
                                <w:sz w:val="20"/>
                                <w:szCs w:val="20"/>
                              </w:rPr>
                              <w:t xml:space="preserve">he duty of care applies to all </w:t>
                            </w:r>
                            <w:r w:rsidR="008206B6">
                              <w:rPr>
                                <w:rFonts w:ascii="Verdana" w:hAnsi="Verdana"/>
                                <w:i/>
                                <w:iCs/>
                                <w:sz w:val="20"/>
                                <w:szCs w:val="20"/>
                              </w:rPr>
                              <w:t>‘</w:t>
                            </w:r>
                            <w:r w:rsidRPr="00264DCC">
                              <w:rPr>
                                <w:rFonts w:ascii="Verdana" w:hAnsi="Verdana"/>
                                <w:i/>
                                <w:iCs/>
                                <w:sz w:val="20"/>
                                <w:szCs w:val="20"/>
                              </w:rPr>
                              <w:t>buildings</w:t>
                            </w:r>
                            <w:r w:rsidR="008206B6">
                              <w:rPr>
                                <w:rFonts w:ascii="Verdana" w:hAnsi="Verdana"/>
                                <w:i/>
                                <w:iCs/>
                                <w:sz w:val="20"/>
                                <w:szCs w:val="20"/>
                              </w:rPr>
                              <w:t>’</w:t>
                            </w:r>
                            <w:r w:rsidRPr="00264DCC">
                              <w:rPr>
                                <w:rFonts w:ascii="Verdana" w:hAnsi="Verdana"/>
                                <w:i/>
                                <w:iCs/>
                                <w:sz w:val="20"/>
                                <w:szCs w:val="20"/>
                              </w:rPr>
                              <w:t xml:space="preserve"> </w:t>
                            </w:r>
                            <w:r w:rsidR="004624D7">
                              <w:rPr>
                                <w:rFonts w:ascii="Verdana" w:hAnsi="Verdana"/>
                                <w:i/>
                                <w:iCs/>
                                <w:sz w:val="20"/>
                                <w:szCs w:val="20"/>
                              </w:rPr>
                              <w:t>broadly defined within</w:t>
                            </w:r>
                            <w:r w:rsidRPr="00264DCC">
                              <w:rPr>
                                <w:rFonts w:ascii="Verdana" w:hAnsi="Verdana"/>
                                <w:i/>
                                <w:iCs/>
                                <w:sz w:val="20"/>
                                <w:szCs w:val="20"/>
                              </w:rPr>
                              <w:t xml:space="preserve"> the Environmental Planning and Assessment Act</w:t>
                            </w:r>
                            <w:r w:rsidR="00D03EBF">
                              <w:rPr>
                                <w:rFonts w:ascii="Verdana" w:hAnsi="Verdana"/>
                                <w:i/>
                                <w:iCs/>
                                <w:sz w:val="20"/>
                                <w:szCs w:val="20"/>
                              </w:rPr>
                              <w:t xml:space="preserve"> (</w:t>
                            </w:r>
                            <w:r w:rsidR="00D03EBF" w:rsidRPr="00D03EBF">
                              <w:rPr>
                                <w:rFonts w:ascii="Verdana" w:hAnsi="Verdana"/>
                                <w:b/>
                                <w:bCs/>
                                <w:i/>
                                <w:iCs/>
                                <w:sz w:val="20"/>
                                <w:szCs w:val="20"/>
                              </w:rPr>
                              <w:t>EPPA</w:t>
                            </w:r>
                            <w:r w:rsidR="00D03EBF">
                              <w:rPr>
                                <w:rFonts w:ascii="Verdana" w:hAnsi="Verdana"/>
                                <w:i/>
                                <w:iCs/>
                                <w:sz w:val="20"/>
                                <w:szCs w:val="20"/>
                              </w:rPr>
                              <w:t>)</w:t>
                            </w:r>
                            <w:r w:rsidR="004624D7">
                              <w:rPr>
                                <w:rFonts w:ascii="Verdana" w:hAnsi="Verdana"/>
                                <w:i/>
                                <w:iCs/>
                                <w:sz w:val="20"/>
                                <w:szCs w:val="20"/>
                              </w:rPr>
                              <w:t xml:space="preserve"> and </w:t>
                            </w:r>
                            <w:r w:rsidRPr="00264DCC">
                              <w:rPr>
                                <w:rFonts w:ascii="Verdana" w:hAnsi="Verdana"/>
                                <w:i/>
                                <w:iCs/>
                                <w:sz w:val="20"/>
                                <w:szCs w:val="20"/>
                              </w:rPr>
                              <w:t>extends to building work, including</w:t>
                            </w:r>
                            <w:r w:rsidR="004624D7">
                              <w:rPr>
                                <w:rFonts w:ascii="Verdana" w:hAnsi="Verdana"/>
                                <w:i/>
                                <w:iCs/>
                                <w:sz w:val="20"/>
                                <w:szCs w:val="20"/>
                              </w:rPr>
                              <w:t xml:space="preserve"> (but not limited to)</w:t>
                            </w:r>
                            <w:r w:rsidRPr="00264DCC">
                              <w:rPr>
                                <w:rFonts w:ascii="Verdana" w:hAnsi="Verdana"/>
                                <w:i/>
                                <w:iCs/>
                                <w:sz w:val="20"/>
                                <w:szCs w:val="20"/>
                              </w:rPr>
                              <w:t xml:space="preserve"> residential building work within the meaning of the Home Building Act</w:t>
                            </w:r>
                            <w:r w:rsidR="00D03EBF">
                              <w:rPr>
                                <w:rFonts w:ascii="Verdana" w:hAnsi="Verdana"/>
                                <w:i/>
                                <w:iCs/>
                                <w:sz w:val="20"/>
                                <w:szCs w:val="20"/>
                              </w:rPr>
                              <w:t xml:space="preserve"> (</w:t>
                            </w:r>
                            <w:r w:rsidR="00D03EBF" w:rsidRPr="00D03EBF">
                              <w:rPr>
                                <w:rFonts w:ascii="Verdana" w:hAnsi="Verdana"/>
                                <w:b/>
                                <w:bCs/>
                                <w:i/>
                                <w:iCs/>
                                <w:sz w:val="20"/>
                                <w:szCs w:val="20"/>
                              </w:rPr>
                              <w:t>HBA</w:t>
                            </w:r>
                            <w:r w:rsidR="00D03EBF">
                              <w:rPr>
                                <w:rFonts w:ascii="Verdana" w:hAnsi="Verdana"/>
                                <w:i/>
                                <w:iCs/>
                                <w:sz w:val="20"/>
                                <w:szCs w:val="20"/>
                              </w:rPr>
                              <w:t>)</w:t>
                            </w:r>
                            <w:r w:rsidRPr="00264DCC">
                              <w:rPr>
                                <w:rFonts w:ascii="Verdana" w:hAnsi="Verdana"/>
                                <w:i/>
                                <w:iC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F1996" id="_x0000_s1028" type="#_x0000_t202" style="position:absolute;margin-left:0;margin-top:1.15pt;width:5in;height:66.7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">
                <v:textbox>
                  <w:txbxContent>
                    <w:p w14:paraId="25CBEBCC" w14:textId="12B12E48" w:rsidR="00AC4E8C" w:rsidRPr="00D03EBF" w:rsidRDefault="00AC4E8C">
                      <w:pPr>
                        <w:rPr>
                          <w:rFonts w:ascii="Verdana" w:hAnsi="Verdana"/>
                          <w:i/>
                          <w:iCs/>
                          <w:sz w:val="20"/>
                          <w:szCs w:val="20"/>
                        </w:rPr>
                      </w:pPr>
                      <w:r>
                        <w:rPr>
                          <w:rFonts w:ascii="Verdana" w:hAnsi="Verdana"/>
                          <w:i/>
                          <w:iCs/>
                          <w:sz w:val="20"/>
                          <w:szCs w:val="20"/>
                        </w:rPr>
                        <w:t>Yes</w:t>
                      </w:r>
                      <w:r w:rsidR="004624D7">
                        <w:rPr>
                          <w:rFonts w:ascii="Verdana" w:hAnsi="Verdana"/>
                          <w:i/>
                          <w:iCs/>
                          <w:sz w:val="20"/>
                          <w:szCs w:val="20"/>
                        </w:rPr>
                        <w:t>. T</w:t>
                      </w:r>
                      <w:r w:rsidRPr="00264DCC">
                        <w:rPr>
                          <w:rFonts w:ascii="Verdana" w:hAnsi="Verdana"/>
                          <w:i/>
                          <w:iCs/>
                          <w:sz w:val="20"/>
                          <w:szCs w:val="20"/>
                        </w:rPr>
                        <w:t xml:space="preserve">he duty of care applies to all </w:t>
                      </w:r>
                      <w:r w:rsidR="008206B6">
                        <w:rPr>
                          <w:rFonts w:ascii="Verdana" w:hAnsi="Verdana"/>
                          <w:i/>
                          <w:iCs/>
                          <w:sz w:val="20"/>
                          <w:szCs w:val="20"/>
                        </w:rPr>
                        <w:t>‘</w:t>
                      </w:r>
                      <w:r w:rsidRPr="00264DCC">
                        <w:rPr>
                          <w:rFonts w:ascii="Verdana" w:hAnsi="Verdana"/>
                          <w:i/>
                          <w:iCs/>
                          <w:sz w:val="20"/>
                          <w:szCs w:val="20"/>
                        </w:rPr>
                        <w:t>buildings</w:t>
                      </w:r>
                      <w:r w:rsidR="008206B6">
                        <w:rPr>
                          <w:rFonts w:ascii="Verdana" w:hAnsi="Verdana"/>
                          <w:i/>
                          <w:iCs/>
                          <w:sz w:val="20"/>
                          <w:szCs w:val="20"/>
                        </w:rPr>
                        <w:t>’</w:t>
                      </w:r>
                      <w:r w:rsidRPr="00264DCC">
                        <w:rPr>
                          <w:rFonts w:ascii="Verdana" w:hAnsi="Verdana"/>
                          <w:i/>
                          <w:iCs/>
                          <w:sz w:val="20"/>
                          <w:szCs w:val="20"/>
                        </w:rPr>
                        <w:t xml:space="preserve"> </w:t>
                      </w:r>
                      <w:r w:rsidR="004624D7">
                        <w:rPr>
                          <w:rFonts w:ascii="Verdana" w:hAnsi="Verdana"/>
                          <w:i/>
                          <w:iCs/>
                          <w:sz w:val="20"/>
                          <w:szCs w:val="20"/>
                        </w:rPr>
                        <w:t>broadly defined within</w:t>
                      </w:r>
                      <w:r w:rsidRPr="00264DCC">
                        <w:rPr>
                          <w:rFonts w:ascii="Verdana" w:hAnsi="Verdana"/>
                          <w:i/>
                          <w:iCs/>
                          <w:sz w:val="20"/>
                          <w:szCs w:val="20"/>
                        </w:rPr>
                        <w:t xml:space="preserve"> the Environmental Planning and Assessment Act</w:t>
                      </w:r>
                      <w:r w:rsidR="00D03EBF">
                        <w:rPr>
                          <w:rFonts w:ascii="Verdana" w:hAnsi="Verdana"/>
                          <w:i/>
                          <w:iCs/>
                          <w:sz w:val="20"/>
                          <w:szCs w:val="20"/>
                        </w:rPr>
                        <w:t xml:space="preserve"> (</w:t>
                      </w:r>
                      <w:r w:rsidR="00D03EBF" w:rsidRPr="00D03EBF">
                        <w:rPr>
                          <w:rFonts w:ascii="Verdana" w:hAnsi="Verdana"/>
                          <w:b/>
                          <w:bCs/>
                          <w:i/>
                          <w:iCs/>
                          <w:sz w:val="20"/>
                          <w:szCs w:val="20"/>
                        </w:rPr>
                        <w:t>EPPA</w:t>
                      </w:r>
                      <w:r w:rsidR="00D03EBF">
                        <w:rPr>
                          <w:rFonts w:ascii="Verdana" w:hAnsi="Verdana"/>
                          <w:i/>
                          <w:iCs/>
                          <w:sz w:val="20"/>
                          <w:szCs w:val="20"/>
                        </w:rPr>
                        <w:t>)</w:t>
                      </w:r>
                      <w:r w:rsidR="004624D7">
                        <w:rPr>
                          <w:rFonts w:ascii="Verdana" w:hAnsi="Verdana"/>
                          <w:i/>
                          <w:iCs/>
                          <w:sz w:val="20"/>
                          <w:szCs w:val="20"/>
                        </w:rPr>
                        <w:t xml:space="preserve"> and </w:t>
                      </w:r>
                      <w:r w:rsidRPr="00264DCC">
                        <w:rPr>
                          <w:rFonts w:ascii="Verdana" w:hAnsi="Verdana"/>
                          <w:i/>
                          <w:iCs/>
                          <w:sz w:val="20"/>
                          <w:szCs w:val="20"/>
                        </w:rPr>
                        <w:t>extends to building work, including</w:t>
                      </w:r>
                      <w:r w:rsidR="004624D7">
                        <w:rPr>
                          <w:rFonts w:ascii="Verdana" w:hAnsi="Verdana"/>
                          <w:i/>
                          <w:iCs/>
                          <w:sz w:val="20"/>
                          <w:szCs w:val="20"/>
                        </w:rPr>
                        <w:t xml:space="preserve"> (but not limited to)</w:t>
                      </w:r>
                      <w:r w:rsidRPr="00264DCC">
                        <w:rPr>
                          <w:rFonts w:ascii="Verdana" w:hAnsi="Verdana"/>
                          <w:i/>
                          <w:iCs/>
                          <w:sz w:val="20"/>
                          <w:szCs w:val="20"/>
                        </w:rPr>
                        <w:t xml:space="preserve"> residential building work within the meaning of the Home Building Act</w:t>
                      </w:r>
                      <w:r w:rsidR="00D03EBF">
                        <w:rPr>
                          <w:rFonts w:ascii="Verdana" w:hAnsi="Verdana"/>
                          <w:i/>
                          <w:iCs/>
                          <w:sz w:val="20"/>
                          <w:szCs w:val="20"/>
                        </w:rPr>
                        <w:t xml:space="preserve"> (</w:t>
                      </w:r>
                      <w:r w:rsidR="00D03EBF" w:rsidRPr="00D03EBF">
                        <w:rPr>
                          <w:rFonts w:ascii="Verdana" w:hAnsi="Verdana"/>
                          <w:b/>
                          <w:bCs/>
                          <w:i/>
                          <w:iCs/>
                          <w:sz w:val="20"/>
                          <w:szCs w:val="20"/>
                        </w:rPr>
                        <w:t>HBA</w:t>
                      </w:r>
                      <w:r w:rsidR="00D03EBF">
                        <w:rPr>
                          <w:rFonts w:ascii="Verdana" w:hAnsi="Verdana"/>
                          <w:i/>
                          <w:iCs/>
                          <w:sz w:val="20"/>
                          <w:szCs w:val="20"/>
                        </w:rPr>
                        <w:t>)</w:t>
                      </w:r>
                      <w:r w:rsidRPr="00264DCC">
                        <w:rPr>
                          <w:rFonts w:ascii="Verdana" w:hAnsi="Verdana"/>
                          <w:i/>
                          <w:iCs/>
                          <w:sz w:val="20"/>
                          <w:szCs w:val="20"/>
                        </w:rPr>
                        <w:t>.</w:t>
                      </w:r>
                    </w:p>
                  </w:txbxContent>
                </v:textbox>
                <w10:wrap type="square" anchorx="margin"/>
              </v:shape>
            </w:pict>
          </mc:Fallback>
        </mc:AlternateContent>
      </w:r>
    </w:p>
    <w:p w14:paraId="7041C267" w14:textId="00B4BC07" w:rsidR="00AC4E8C" w:rsidRPr="006B5035" w:rsidRDefault="00AC4E8C" w:rsidP="001B7A85">
      <w:pPr>
        <w:rPr>
          <w:rFonts w:ascii="Verdana" w:eastAsia="Times New Roman" w:hAnsi="Verdana" w:cs="Calibri"/>
          <w:b/>
          <w:bCs/>
          <w:sz w:val="20"/>
          <w:szCs w:val="20"/>
          <w:lang w:eastAsia="en-AU"/>
        </w:rPr>
      </w:pPr>
    </w:p>
    <w:p w14:paraId="53B655EE" w14:textId="77777777" w:rsidR="00AC4E8C" w:rsidRDefault="00AC4E8C" w:rsidP="001B7A85">
      <w:pPr>
        <w:rPr>
          <w:rFonts w:ascii="Verdana" w:eastAsia="Times New Roman" w:hAnsi="Verdana" w:cs="Calibri"/>
          <w:sz w:val="20"/>
          <w:szCs w:val="20"/>
          <w:lang w:eastAsia="en-AU"/>
        </w:rPr>
      </w:pPr>
    </w:p>
    <w:p w14:paraId="38881620" w14:textId="77777777" w:rsidR="00AC4E8C" w:rsidRDefault="00AC4E8C" w:rsidP="001B7A85">
      <w:pPr>
        <w:rPr>
          <w:rFonts w:ascii="Verdana" w:eastAsia="Times New Roman" w:hAnsi="Verdana" w:cs="Calibri"/>
          <w:sz w:val="20"/>
          <w:szCs w:val="20"/>
          <w:lang w:eastAsia="en-AU"/>
        </w:rPr>
      </w:pPr>
    </w:p>
    <w:p w14:paraId="4C089ABC" w14:textId="41A7D832" w:rsidR="00283D51" w:rsidRDefault="001B7A85" w:rsidP="001B7A85">
      <w:pPr>
        <w:rPr>
          <w:rFonts w:ascii="Verdana" w:hAnsi="Verdana"/>
          <w:sz w:val="20"/>
          <w:szCs w:val="20"/>
        </w:rPr>
      </w:pPr>
      <w:r w:rsidRPr="006B5035">
        <w:rPr>
          <w:rFonts w:ascii="Verdana" w:eastAsia="Times New Roman" w:hAnsi="Verdana" w:cs="Calibri"/>
          <w:sz w:val="20"/>
          <w:szCs w:val="20"/>
          <w:lang w:eastAsia="en-AU"/>
        </w:rPr>
        <w:t>Initially, there was a widespread view within the construction industry</w:t>
      </w:r>
      <w:r w:rsidR="00283D51">
        <w:rPr>
          <w:rFonts w:ascii="Verdana" w:eastAsia="Times New Roman" w:hAnsi="Verdana" w:cs="Calibri"/>
          <w:sz w:val="20"/>
          <w:szCs w:val="20"/>
          <w:lang w:eastAsia="en-AU"/>
        </w:rPr>
        <w:t xml:space="preserve"> </w:t>
      </w:r>
      <w:r w:rsidRPr="006B5035">
        <w:rPr>
          <w:rFonts w:ascii="Verdana" w:eastAsia="Times New Roman" w:hAnsi="Verdana" w:cs="Calibri"/>
          <w:sz w:val="20"/>
          <w:szCs w:val="20"/>
          <w:lang w:eastAsia="en-AU"/>
        </w:rPr>
        <w:t>that the</w:t>
      </w:r>
      <w:r w:rsidR="00283D51">
        <w:rPr>
          <w:rFonts w:ascii="Verdana" w:eastAsia="Times New Roman" w:hAnsi="Verdana" w:cs="Calibri"/>
          <w:sz w:val="20"/>
          <w:szCs w:val="20"/>
          <w:lang w:eastAsia="en-AU"/>
        </w:rPr>
        <w:t xml:space="preserve"> duty of care obligation under the</w:t>
      </w:r>
      <w:r w:rsidRPr="006B5035">
        <w:rPr>
          <w:rFonts w:ascii="Verdana" w:eastAsia="Times New Roman" w:hAnsi="Verdana" w:cs="Calibri"/>
          <w:sz w:val="20"/>
          <w:szCs w:val="20"/>
          <w:lang w:eastAsia="en-AU"/>
        </w:rPr>
        <w:t xml:space="preserve"> </w:t>
      </w:r>
      <w:r w:rsidR="00246F28">
        <w:rPr>
          <w:rFonts w:ascii="Verdana" w:eastAsia="Times New Roman" w:hAnsi="Verdana" w:cs="Calibri"/>
          <w:sz w:val="20"/>
          <w:szCs w:val="20"/>
          <w:lang w:eastAsia="en-AU"/>
        </w:rPr>
        <w:t xml:space="preserve">DBP </w:t>
      </w:r>
      <w:r w:rsidRPr="006B5035">
        <w:rPr>
          <w:rFonts w:ascii="Verdana" w:eastAsia="Times New Roman" w:hAnsi="Verdana" w:cs="Calibri"/>
          <w:sz w:val="20"/>
          <w:szCs w:val="20"/>
          <w:lang w:eastAsia="en-AU"/>
        </w:rPr>
        <w:t xml:space="preserve">Act </w:t>
      </w:r>
      <w:r w:rsidR="00283D51">
        <w:rPr>
          <w:rFonts w:ascii="Verdana" w:hAnsi="Verdana"/>
          <w:sz w:val="20"/>
          <w:szCs w:val="20"/>
        </w:rPr>
        <w:t>w</w:t>
      </w:r>
      <w:r w:rsidR="00D057EE">
        <w:rPr>
          <w:rFonts w:ascii="Verdana" w:hAnsi="Verdana"/>
          <w:sz w:val="20"/>
          <w:szCs w:val="20"/>
        </w:rPr>
        <w:t>as</w:t>
      </w:r>
      <w:r w:rsidRPr="006B5035">
        <w:rPr>
          <w:rFonts w:ascii="Verdana" w:hAnsi="Verdana"/>
          <w:sz w:val="20"/>
          <w:szCs w:val="20"/>
        </w:rPr>
        <w:t xml:space="preserve"> only applicab</w:t>
      </w:r>
      <w:r w:rsidRPr="006B5035">
        <w:rPr>
          <w:rFonts w:ascii="Verdana" w:eastAsia="Times New Roman" w:hAnsi="Verdana" w:cs="Calibri"/>
          <w:sz w:val="20"/>
          <w:szCs w:val="20"/>
          <w:lang w:eastAsia="en-AU"/>
        </w:rPr>
        <w:t>le to class 2 buildings or buildings with a class 2 part. However,</w:t>
      </w:r>
      <w:r w:rsidR="00C4709F">
        <w:rPr>
          <w:rFonts w:ascii="Verdana" w:eastAsia="Times New Roman" w:hAnsi="Verdana" w:cs="Calibri"/>
          <w:sz w:val="20"/>
          <w:szCs w:val="20"/>
          <w:lang w:eastAsia="en-AU"/>
        </w:rPr>
        <w:t xml:space="preserve"> </w:t>
      </w:r>
      <w:r w:rsidR="00C4709F">
        <w:rPr>
          <w:rFonts w:ascii="Verdana" w:hAnsi="Verdana"/>
          <w:sz w:val="20"/>
          <w:szCs w:val="20"/>
        </w:rPr>
        <w:t>following</w:t>
      </w:r>
      <w:r w:rsidR="006C498D">
        <w:rPr>
          <w:rFonts w:ascii="Verdana" w:hAnsi="Verdana"/>
          <w:sz w:val="20"/>
          <w:szCs w:val="20"/>
        </w:rPr>
        <w:t xml:space="preserve"> the recent case of</w:t>
      </w:r>
      <w:r w:rsidR="00C4709F">
        <w:rPr>
          <w:rFonts w:ascii="Verdana" w:hAnsi="Verdana"/>
          <w:sz w:val="20"/>
          <w:szCs w:val="20"/>
        </w:rPr>
        <w:t xml:space="preserve"> </w:t>
      </w:r>
      <w:r w:rsidR="00C4709F" w:rsidRPr="00C4709F">
        <w:rPr>
          <w:rFonts w:ascii="Verdana" w:hAnsi="Verdana"/>
          <w:i/>
          <w:iCs/>
          <w:sz w:val="20"/>
          <w:szCs w:val="20"/>
        </w:rPr>
        <w:t xml:space="preserve">Goodwin v DSD </w:t>
      </w:r>
      <w:r w:rsidR="00246F28">
        <w:rPr>
          <w:rFonts w:ascii="Verdana" w:hAnsi="Verdana"/>
          <w:sz w:val="20"/>
          <w:szCs w:val="20"/>
        </w:rPr>
        <w:t>this duty of care obligation</w:t>
      </w:r>
      <w:r w:rsidR="00C4709F">
        <w:rPr>
          <w:rFonts w:ascii="Verdana" w:hAnsi="Verdana"/>
          <w:sz w:val="20"/>
          <w:szCs w:val="20"/>
        </w:rPr>
        <w:t xml:space="preserve"> </w:t>
      </w:r>
      <w:r w:rsidR="006864C1">
        <w:rPr>
          <w:rFonts w:ascii="Verdana" w:hAnsi="Verdana"/>
          <w:sz w:val="20"/>
          <w:szCs w:val="20"/>
        </w:rPr>
        <w:t xml:space="preserve">appears to go </w:t>
      </w:r>
      <w:r w:rsidR="00C4709F">
        <w:rPr>
          <w:rFonts w:ascii="Verdana" w:hAnsi="Verdana"/>
          <w:sz w:val="20"/>
          <w:szCs w:val="20"/>
        </w:rPr>
        <w:t xml:space="preserve">beyond </w:t>
      </w:r>
      <w:r w:rsidR="006864C1">
        <w:rPr>
          <w:rFonts w:ascii="Verdana" w:hAnsi="Verdana"/>
          <w:sz w:val="20"/>
          <w:szCs w:val="20"/>
        </w:rPr>
        <w:t xml:space="preserve">simply class </w:t>
      </w:r>
      <w:r w:rsidR="00D07A1B">
        <w:rPr>
          <w:rFonts w:ascii="Verdana" w:hAnsi="Verdana"/>
          <w:sz w:val="20"/>
          <w:szCs w:val="20"/>
        </w:rPr>
        <w:t>2</w:t>
      </w:r>
      <w:r w:rsidR="006864C1">
        <w:rPr>
          <w:rFonts w:ascii="Verdana" w:hAnsi="Verdana"/>
          <w:sz w:val="20"/>
          <w:szCs w:val="20"/>
        </w:rPr>
        <w:t xml:space="preserve"> buildings</w:t>
      </w:r>
      <w:r w:rsidR="00C4709F">
        <w:rPr>
          <w:rFonts w:ascii="Verdana" w:hAnsi="Verdana"/>
          <w:sz w:val="20"/>
          <w:szCs w:val="20"/>
        </w:rPr>
        <w:t xml:space="preserve"> to the </w:t>
      </w:r>
      <w:r w:rsidR="007E54B4">
        <w:rPr>
          <w:rFonts w:ascii="Verdana" w:hAnsi="Verdana"/>
          <w:sz w:val="20"/>
          <w:szCs w:val="20"/>
        </w:rPr>
        <w:t xml:space="preserve">complex </w:t>
      </w:r>
      <w:r w:rsidR="00C4709F">
        <w:rPr>
          <w:rFonts w:ascii="Verdana" w:hAnsi="Verdana"/>
          <w:sz w:val="20"/>
          <w:szCs w:val="20"/>
        </w:rPr>
        <w:t>interpretation of the definitions</w:t>
      </w:r>
      <w:r w:rsidR="00647D5A">
        <w:rPr>
          <w:rFonts w:ascii="Verdana" w:hAnsi="Verdana"/>
          <w:sz w:val="20"/>
          <w:szCs w:val="20"/>
        </w:rPr>
        <w:t xml:space="preserve"> within </w:t>
      </w:r>
      <w:r w:rsidR="00425249">
        <w:rPr>
          <w:rFonts w:ascii="Verdana" w:hAnsi="Verdana"/>
          <w:sz w:val="20"/>
          <w:szCs w:val="20"/>
        </w:rPr>
        <w:t>s36</w:t>
      </w:r>
      <w:r w:rsidR="00647D5A">
        <w:rPr>
          <w:rFonts w:ascii="Verdana" w:hAnsi="Verdana"/>
          <w:sz w:val="20"/>
          <w:szCs w:val="20"/>
        </w:rPr>
        <w:t xml:space="preserve"> of the DBP Act</w:t>
      </w:r>
      <w:r w:rsidRPr="006B5035">
        <w:rPr>
          <w:rFonts w:ascii="Verdana" w:eastAsia="Times New Roman" w:hAnsi="Verdana" w:cs="Calibri"/>
          <w:sz w:val="20"/>
          <w:szCs w:val="20"/>
          <w:lang w:eastAsia="en-AU"/>
        </w:rPr>
        <w:t xml:space="preserve"> </w:t>
      </w:r>
      <w:r w:rsidR="00C4709F">
        <w:rPr>
          <w:rFonts w:ascii="Verdana" w:eastAsia="Times New Roman" w:hAnsi="Verdana" w:cs="Calibri"/>
          <w:sz w:val="20"/>
          <w:szCs w:val="20"/>
          <w:lang w:eastAsia="en-AU"/>
        </w:rPr>
        <w:t xml:space="preserve">of </w:t>
      </w:r>
      <w:r w:rsidR="00D217AC">
        <w:rPr>
          <w:rFonts w:ascii="Verdana" w:eastAsia="Times New Roman" w:hAnsi="Verdana" w:cs="Calibri"/>
          <w:sz w:val="20"/>
          <w:szCs w:val="20"/>
          <w:lang w:eastAsia="en-AU"/>
        </w:rPr>
        <w:t>‘</w:t>
      </w:r>
      <w:r w:rsidR="00C4709F">
        <w:rPr>
          <w:rFonts w:ascii="Verdana" w:eastAsia="Times New Roman" w:hAnsi="Verdana" w:cs="Calibri"/>
          <w:sz w:val="20"/>
          <w:szCs w:val="20"/>
          <w:lang w:eastAsia="en-AU"/>
        </w:rPr>
        <w:t xml:space="preserve">construction work, </w:t>
      </w:r>
      <w:r w:rsidR="008206B6">
        <w:rPr>
          <w:rFonts w:ascii="Verdana" w:eastAsia="Times New Roman" w:hAnsi="Verdana" w:cs="Calibri"/>
          <w:sz w:val="20"/>
          <w:szCs w:val="20"/>
          <w:lang w:eastAsia="en-AU"/>
        </w:rPr>
        <w:t>‘</w:t>
      </w:r>
      <w:r w:rsidR="00C4709F">
        <w:rPr>
          <w:rFonts w:ascii="Verdana" w:eastAsia="Times New Roman" w:hAnsi="Verdana" w:cs="Calibri"/>
          <w:sz w:val="20"/>
          <w:szCs w:val="20"/>
          <w:lang w:eastAsia="en-AU"/>
        </w:rPr>
        <w:t>building work</w:t>
      </w:r>
      <w:r w:rsidR="008206B6">
        <w:rPr>
          <w:rFonts w:ascii="Verdana" w:eastAsia="Times New Roman" w:hAnsi="Verdana" w:cs="Calibri"/>
          <w:sz w:val="20"/>
          <w:szCs w:val="20"/>
          <w:lang w:eastAsia="en-AU"/>
        </w:rPr>
        <w:t>’</w:t>
      </w:r>
      <w:r w:rsidR="00C4709F">
        <w:rPr>
          <w:rFonts w:ascii="Verdana" w:eastAsia="Times New Roman" w:hAnsi="Verdana" w:cs="Calibri"/>
          <w:sz w:val="20"/>
          <w:szCs w:val="20"/>
          <w:lang w:eastAsia="en-AU"/>
        </w:rPr>
        <w:t xml:space="preserve"> and </w:t>
      </w:r>
      <w:r w:rsidR="008206B6">
        <w:rPr>
          <w:rFonts w:ascii="Verdana" w:eastAsia="Times New Roman" w:hAnsi="Verdana" w:cs="Calibri"/>
          <w:sz w:val="20"/>
          <w:szCs w:val="20"/>
          <w:lang w:eastAsia="en-AU"/>
        </w:rPr>
        <w:t>‘</w:t>
      </w:r>
      <w:r w:rsidR="00C4709F">
        <w:rPr>
          <w:rFonts w:ascii="Verdana" w:eastAsia="Times New Roman" w:hAnsi="Verdana" w:cs="Calibri"/>
          <w:sz w:val="20"/>
          <w:szCs w:val="20"/>
          <w:lang w:eastAsia="en-AU"/>
        </w:rPr>
        <w:t>building</w:t>
      </w:r>
      <w:r w:rsidR="008206B6">
        <w:rPr>
          <w:rFonts w:ascii="Verdana" w:eastAsia="Times New Roman" w:hAnsi="Verdana" w:cs="Calibri"/>
          <w:sz w:val="20"/>
          <w:szCs w:val="20"/>
          <w:lang w:eastAsia="en-AU"/>
        </w:rPr>
        <w:t>’</w:t>
      </w:r>
    </w:p>
    <w:p w14:paraId="37C3050C" w14:textId="3E0D1E21" w:rsidR="00D057EE" w:rsidRDefault="00475585" w:rsidP="009E64B2">
      <w:pPr>
        <w:rPr>
          <w:rFonts w:ascii="Verdana" w:hAnsi="Verdana"/>
          <w:sz w:val="20"/>
          <w:szCs w:val="20"/>
        </w:rPr>
      </w:pPr>
      <w:r>
        <w:rPr>
          <w:rFonts w:ascii="Verdana" w:hAnsi="Verdana"/>
          <w:sz w:val="20"/>
          <w:szCs w:val="20"/>
        </w:rPr>
        <w:t>The statutory d</w:t>
      </w:r>
      <w:r w:rsidR="009E64B2">
        <w:rPr>
          <w:rFonts w:ascii="Verdana" w:hAnsi="Verdana"/>
          <w:sz w:val="20"/>
          <w:szCs w:val="20"/>
        </w:rPr>
        <w:t xml:space="preserve">uty of care must relate to </w:t>
      </w:r>
      <w:r w:rsidR="008206B6">
        <w:rPr>
          <w:rFonts w:ascii="Verdana" w:hAnsi="Verdana"/>
          <w:sz w:val="20"/>
          <w:szCs w:val="20"/>
        </w:rPr>
        <w:t>‘</w:t>
      </w:r>
      <w:r w:rsidR="009E64B2">
        <w:rPr>
          <w:rFonts w:ascii="Verdana" w:hAnsi="Verdana"/>
          <w:sz w:val="20"/>
          <w:szCs w:val="20"/>
        </w:rPr>
        <w:t>construction work</w:t>
      </w:r>
      <w:r w:rsidR="008206B6">
        <w:rPr>
          <w:rFonts w:ascii="Verdana" w:hAnsi="Verdana"/>
          <w:sz w:val="20"/>
          <w:szCs w:val="20"/>
        </w:rPr>
        <w:t>’</w:t>
      </w:r>
      <w:r>
        <w:rPr>
          <w:rFonts w:ascii="Verdana" w:hAnsi="Verdana"/>
          <w:sz w:val="20"/>
          <w:szCs w:val="20"/>
        </w:rPr>
        <w:t>.</w:t>
      </w:r>
      <w:r w:rsidR="009E64B2">
        <w:rPr>
          <w:rFonts w:ascii="Verdana" w:hAnsi="Verdana"/>
          <w:sz w:val="20"/>
          <w:szCs w:val="20"/>
        </w:rPr>
        <w:t xml:space="preserve"> </w:t>
      </w:r>
      <w:r w:rsidR="00D057EE">
        <w:rPr>
          <w:rFonts w:ascii="Verdana" w:hAnsi="Verdana"/>
          <w:sz w:val="20"/>
          <w:szCs w:val="20"/>
        </w:rPr>
        <w:t xml:space="preserve">The </w:t>
      </w:r>
      <w:r w:rsidR="001B7A85" w:rsidRPr="006B5035">
        <w:rPr>
          <w:rFonts w:ascii="Verdana" w:hAnsi="Verdana"/>
          <w:sz w:val="20"/>
          <w:szCs w:val="20"/>
        </w:rPr>
        <w:t xml:space="preserve">definition </w:t>
      </w:r>
      <w:r w:rsidR="00D057EE">
        <w:rPr>
          <w:rFonts w:ascii="Verdana" w:hAnsi="Verdana"/>
          <w:sz w:val="20"/>
          <w:szCs w:val="20"/>
        </w:rPr>
        <w:t xml:space="preserve">of </w:t>
      </w:r>
      <w:r w:rsidR="008206B6">
        <w:rPr>
          <w:rFonts w:ascii="Verdana" w:hAnsi="Verdana"/>
          <w:sz w:val="20"/>
          <w:szCs w:val="20"/>
        </w:rPr>
        <w:t>‘</w:t>
      </w:r>
      <w:r w:rsidR="00D057EE">
        <w:rPr>
          <w:rFonts w:ascii="Verdana" w:hAnsi="Verdana"/>
          <w:sz w:val="20"/>
          <w:szCs w:val="20"/>
        </w:rPr>
        <w:t>construction work</w:t>
      </w:r>
      <w:r w:rsidR="008206B6">
        <w:rPr>
          <w:rFonts w:ascii="Verdana" w:hAnsi="Verdana"/>
          <w:sz w:val="20"/>
          <w:szCs w:val="20"/>
        </w:rPr>
        <w:t>’</w:t>
      </w:r>
      <w:r w:rsidR="00D057EE">
        <w:rPr>
          <w:rFonts w:ascii="Verdana" w:hAnsi="Verdana"/>
          <w:sz w:val="20"/>
          <w:szCs w:val="20"/>
        </w:rPr>
        <w:t xml:space="preserve"> under s36 of the </w:t>
      </w:r>
      <w:r w:rsidR="00246F28">
        <w:rPr>
          <w:rFonts w:ascii="Verdana" w:hAnsi="Verdana"/>
          <w:sz w:val="20"/>
          <w:szCs w:val="20"/>
        </w:rPr>
        <w:t xml:space="preserve">DBP </w:t>
      </w:r>
      <w:r w:rsidR="00D057EE">
        <w:rPr>
          <w:rFonts w:ascii="Verdana" w:hAnsi="Verdana"/>
          <w:sz w:val="20"/>
          <w:szCs w:val="20"/>
        </w:rPr>
        <w:t xml:space="preserve">Act </w:t>
      </w:r>
      <w:bookmarkStart w:id="0" w:name="_Hlk104460348"/>
      <w:r w:rsidR="007E54B4">
        <w:rPr>
          <w:rFonts w:ascii="Verdana" w:hAnsi="Verdana"/>
          <w:sz w:val="20"/>
          <w:szCs w:val="20"/>
        </w:rPr>
        <w:t xml:space="preserve">includes </w:t>
      </w:r>
      <w:r w:rsidR="008206B6">
        <w:rPr>
          <w:rFonts w:ascii="Verdana" w:hAnsi="Verdana"/>
          <w:sz w:val="20"/>
          <w:szCs w:val="20"/>
        </w:rPr>
        <w:t>‘</w:t>
      </w:r>
      <w:r w:rsidR="009E64B2">
        <w:rPr>
          <w:rFonts w:ascii="Verdana" w:hAnsi="Verdana"/>
          <w:sz w:val="20"/>
          <w:szCs w:val="20"/>
        </w:rPr>
        <w:t>B</w:t>
      </w:r>
      <w:r w:rsidR="00085890" w:rsidRPr="006B5035">
        <w:rPr>
          <w:rFonts w:ascii="Verdana" w:hAnsi="Verdana"/>
          <w:sz w:val="20"/>
          <w:szCs w:val="20"/>
        </w:rPr>
        <w:t>uilding work</w:t>
      </w:r>
      <w:r w:rsidR="008206B6">
        <w:rPr>
          <w:rFonts w:ascii="Verdana" w:hAnsi="Verdana"/>
          <w:sz w:val="20"/>
          <w:szCs w:val="20"/>
        </w:rPr>
        <w:t>’</w:t>
      </w:r>
      <w:r w:rsidR="007E54B4">
        <w:rPr>
          <w:rFonts w:ascii="Verdana" w:hAnsi="Verdana"/>
          <w:sz w:val="20"/>
          <w:szCs w:val="20"/>
        </w:rPr>
        <w:t xml:space="preserve">. </w:t>
      </w:r>
      <w:r w:rsidR="008206B6">
        <w:rPr>
          <w:rFonts w:ascii="Verdana" w:hAnsi="Verdana"/>
          <w:sz w:val="20"/>
          <w:szCs w:val="20"/>
        </w:rPr>
        <w:t>‘</w:t>
      </w:r>
      <w:r>
        <w:rPr>
          <w:rFonts w:ascii="Verdana" w:hAnsi="Verdana"/>
          <w:sz w:val="20"/>
          <w:szCs w:val="20"/>
        </w:rPr>
        <w:t>B</w:t>
      </w:r>
      <w:r w:rsidR="007E54B4">
        <w:rPr>
          <w:rFonts w:ascii="Verdana" w:hAnsi="Verdana"/>
          <w:sz w:val="20"/>
          <w:szCs w:val="20"/>
        </w:rPr>
        <w:t>uilding work</w:t>
      </w:r>
      <w:r w:rsidR="008206B6">
        <w:rPr>
          <w:rFonts w:ascii="Verdana" w:hAnsi="Verdana"/>
          <w:sz w:val="20"/>
          <w:szCs w:val="20"/>
        </w:rPr>
        <w:t>’</w:t>
      </w:r>
      <w:r w:rsidR="00887428">
        <w:rPr>
          <w:rFonts w:ascii="Verdana" w:hAnsi="Verdana"/>
          <w:sz w:val="20"/>
          <w:szCs w:val="20"/>
        </w:rPr>
        <w:t xml:space="preserve"> </w:t>
      </w:r>
      <w:r>
        <w:rPr>
          <w:rFonts w:ascii="Verdana" w:hAnsi="Verdana"/>
          <w:sz w:val="20"/>
          <w:szCs w:val="20"/>
        </w:rPr>
        <w:t xml:space="preserve">is </w:t>
      </w:r>
      <w:r w:rsidR="00887428">
        <w:rPr>
          <w:rFonts w:ascii="Verdana" w:hAnsi="Verdana"/>
          <w:sz w:val="20"/>
          <w:szCs w:val="20"/>
        </w:rPr>
        <w:t xml:space="preserve">defined </w:t>
      </w:r>
      <w:r>
        <w:rPr>
          <w:rFonts w:ascii="Verdana" w:hAnsi="Verdana"/>
          <w:sz w:val="20"/>
          <w:szCs w:val="20"/>
        </w:rPr>
        <w:t xml:space="preserve">under the DBP Act </w:t>
      </w:r>
      <w:r w:rsidR="00887428">
        <w:rPr>
          <w:rFonts w:ascii="Verdana" w:hAnsi="Verdana"/>
          <w:sz w:val="20"/>
          <w:szCs w:val="20"/>
        </w:rPr>
        <w:t xml:space="preserve">to </w:t>
      </w:r>
      <w:r w:rsidR="00085890" w:rsidRPr="007457BE">
        <w:rPr>
          <w:rFonts w:ascii="Verdana" w:hAnsi="Verdana"/>
          <w:sz w:val="20"/>
          <w:szCs w:val="20"/>
          <w:u w:val="single"/>
        </w:rPr>
        <w:t>include</w:t>
      </w:r>
      <w:r w:rsidR="00085890" w:rsidRPr="006B5035">
        <w:rPr>
          <w:rFonts w:ascii="Verdana" w:hAnsi="Verdana"/>
          <w:sz w:val="20"/>
          <w:szCs w:val="20"/>
        </w:rPr>
        <w:t xml:space="preserve"> </w:t>
      </w:r>
      <w:r w:rsidR="00085890" w:rsidRPr="004C0ABD">
        <w:rPr>
          <w:rFonts w:ascii="Verdana" w:hAnsi="Verdana"/>
          <w:sz w:val="20"/>
          <w:szCs w:val="20"/>
        </w:rPr>
        <w:t>residential building work</w:t>
      </w:r>
      <w:r w:rsidR="00085890" w:rsidRPr="006B5035">
        <w:rPr>
          <w:rFonts w:ascii="Verdana" w:hAnsi="Verdana"/>
          <w:sz w:val="20"/>
          <w:szCs w:val="20"/>
        </w:rPr>
        <w:t xml:space="preserve"> within the meaning </w:t>
      </w:r>
      <w:r w:rsidR="006864C1" w:rsidRPr="006864C1">
        <w:rPr>
          <w:rFonts w:ascii="Verdana" w:hAnsi="Verdana"/>
          <w:sz w:val="20"/>
          <w:szCs w:val="20"/>
        </w:rPr>
        <w:t>HBA</w:t>
      </w:r>
      <w:r w:rsidR="006864C1">
        <w:rPr>
          <w:rFonts w:ascii="Verdana" w:hAnsi="Verdana"/>
          <w:i/>
          <w:iCs/>
          <w:sz w:val="20"/>
          <w:szCs w:val="20"/>
        </w:rPr>
        <w:t xml:space="preserve"> </w:t>
      </w:r>
      <w:r w:rsidR="00887428">
        <w:rPr>
          <w:rFonts w:ascii="Verdana" w:hAnsi="Verdana"/>
          <w:sz w:val="20"/>
          <w:szCs w:val="20"/>
        </w:rPr>
        <w:t xml:space="preserve">relating to a </w:t>
      </w:r>
      <w:r w:rsidR="008206B6">
        <w:rPr>
          <w:rFonts w:ascii="Verdana" w:hAnsi="Verdana"/>
          <w:sz w:val="20"/>
          <w:szCs w:val="20"/>
        </w:rPr>
        <w:t>‘</w:t>
      </w:r>
      <w:r w:rsidR="00887428">
        <w:rPr>
          <w:rFonts w:ascii="Verdana" w:hAnsi="Verdana"/>
          <w:sz w:val="20"/>
          <w:szCs w:val="20"/>
        </w:rPr>
        <w:t>building</w:t>
      </w:r>
      <w:r w:rsidR="008206B6">
        <w:rPr>
          <w:rFonts w:ascii="Verdana" w:hAnsi="Verdana"/>
          <w:sz w:val="20"/>
          <w:szCs w:val="20"/>
        </w:rPr>
        <w:t>’</w:t>
      </w:r>
      <w:r w:rsidR="00F052A5">
        <w:rPr>
          <w:rFonts w:ascii="Verdana" w:hAnsi="Verdana"/>
          <w:sz w:val="20"/>
          <w:szCs w:val="20"/>
        </w:rPr>
        <w:t xml:space="preserve">. </w:t>
      </w:r>
      <w:r w:rsidR="008206B6">
        <w:rPr>
          <w:rFonts w:ascii="Verdana" w:hAnsi="Verdana"/>
          <w:sz w:val="20"/>
          <w:szCs w:val="20"/>
        </w:rPr>
        <w:t>‘</w:t>
      </w:r>
      <w:r w:rsidR="00F052A5">
        <w:rPr>
          <w:rFonts w:ascii="Verdana" w:hAnsi="Verdana"/>
          <w:sz w:val="20"/>
          <w:szCs w:val="20"/>
        </w:rPr>
        <w:t>B</w:t>
      </w:r>
      <w:r w:rsidR="00887428">
        <w:rPr>
          <w:rFonts w:ascii="Verdana" w:hAnsi="Verdana"/>
          <w:sz w:val="20"/>
          <w:szCs w:val="20"/>
        </w:rPr>
        <w:t>uilding</w:t>
      </w:r>
      <w:r w:rsidR="008206B6">
        <w:rPr>
          <w:rFonts w:ascii="Verdana" w:hAnsi="Verdana"/>
          <w:sz w:val="20"/>
          <w:szCs w:val="20"/>
        </w:rPr>
        <w:t>’</w:t>
      </w:r>
      <w:r w:rsidR="006864C1">
        <w:rPr>
          <w:rFonts w:ascii="Verdana" w:hAnsi="Verdana"/>
          <w:sz w:val="20"/>
          <w:szCs w:val="20"/>
        </w:rPr>
        <w:t>,</w:t>
      </w:r>
      <w:r w:rsidR="00887428">
        <w:rPr>
          <w:rFonts w:ascii="Verdana" w:hAnsi="Verdana"/>
          <w:sz w:val="20"/>
          <w:szCs w:val="20"/>
        </w:rPr>
        <w:t xml:space="preserve"> in turn</w:t>
      </w:r>
      <w:r w:rsidR="006864C1">
        <w:rPr>
          <w:rFonts w:ascii="Verdana" w:hAnsi="Verdana"/>
          <w:sz w:val="20"/>
          <w:szCs w:val="20"/>
        </w:rPr>
        <w:t>, is defined under the DBP Act as</w:t>
      </w:r>
      <w:r w:rsidR="00887428">
        <w:rPr>
          <w:rFonts w:ascii="Verdana" w:hAnsi="Verdana"/>
          <w:sz w:val="20"/>
          <w:szCs w:val="20"/>
        </w:rPr>
        <w:t xml:space="preserve"> ha</w:t>
      </w:r>
      <w:r w:rsidR="006864C1">
        <w:rPr>
          <w:rFonts w:ascii="Verdana" w:hAnsi="Verdana"/>
          <w:sz w:val="20"/>
          <w:szCs w:val="20"/>
        </w:rPr>
        <w:t>ving</w:t>
      </w:r>
      <w:r w:rsidR="00887428">
        <w:rPr>
          <w:rFonts w:ascii="Verdana" w:hAnsi="Verdana"/>
          <w:sz w:val="20"/>
          <w:szCs w:val="20"/>
        </w:rPr>
        <w:t xml:space="preserve"> the same meaning as defined under the EPPA.</w:t>
      </w:r>
      <w:r w:rsidR="002A11B1">
        <w:rPr>
          <w:rFonts w:ascii="Verdana" w:hAnsi="Verdana"/>
          <w:sz w:val="20"/>
          <w:szCs w:val="20"/>
        </w:rPr>
        <w:t xml:space="preserve"> S1.4 of the EP</w:t>
      </w:r>
      <w:r w:rsidR="004A569C">
        <w:rPr>
          <w:rFonts w:ascii="Verdana" w:hAnsi="Verdana"/>
          <w:sz w:val="20"/>
          <w:szCs w:val="20"/>
        </w:rPr>
        <w:t>P</w:t>
      </w:r>
      <w:r w:rsidR="002A11B1">
        <w:rPr>
          <w:rFonts w:ascii="Verdana" w:hAnsi="Verdana"/>
          <w:sz w:val="20"/>
          <w:szCs w:val="20"/>
        </w:rPr>
        <w:t xml:space="preserve">A </w:t>
      </w:r>
      <w:r w:rsidR="004C0ABD">
        <w:rPr>
          <w:rFonts w:ascii="Verdana" w:hAnsi="Verdana"/>
          <w:sz w:val="20"/>
          <w:szCs w:val="20"/>
        </w:rPr>
        <w:t xml:space="preserve">broadly </w:t>
      </w:r>
      <w:r w:rsidR="002A11B1">
        <w:rPr>
          <w:rFonts w:ascii="Verdana" w:hAnsi="Verdana"/>
          <w:sz w:val="20"/>
          <w:szCs w:val="20"/>
        </w:rPr>
        <w:t xml:space="preserve">defines </w:t>
      </w:r>
      <w:r w:rsidR="008206B6">
        <w:rPr>
          <w:rFonts w:ascii="Verdana" w:hAnsi="Verdana"/>
          <w:sz w:val="20"/>
          <w:szCs w:val="20"/>
        </w:rPr>
        <w:t>‘</w:t>
      </w:r>
      <w:r w:rsidR="002A11B1">
        <w:rPr>
          <w:rFonts w:ascii="Verdana" w:hAnsi="Verdana"/>
          <w:sz w:val="20"/>
          <w:szCs w:val="20"/>
        </w:rPr>
        <w:t>building</w:t>
      </w:r>
      <w:r w:rsidR="008206B6">
        <w:rPr>
          <w:rFonts w:ascii="Verdana" w:hAnsi="Verdana"/>
          <w:sz w:val="20"/>
          <w:szCs w:val="20"/>
        </w:rPr>
        <w:t>’</w:t>
      </w:r>
      <w:r w:rsidR="002A11B1">
        <w:rPr>
          <w:rFonts w:ascii="Verdana" w:hAnsi="Verdana"/>
          <w:sz w:val="20"/>
          <w:szCs w:val="20"/>
        </w:rPr>
        <w:t xml:space="preserve"> to include:</w:t>
      </w:r>
    </w:p>
    <w:p w14:paraId="00A79E17" w14:textId="5D888B93" w:rsidR="002A11B1" w:rsidRDefault="008206B6" w:rsidP="007125BB">
      <w:pPr>
        <w:ind w:left="720"/>
        <w:rPr>
          <w:rFonts w:ascii="Verdana" w:hAnsi="Verdana"/>
          <w:sz w:val="20"/>
          <w:szCs w:val="20"/>
        </w:rPr>
      </w:pPr>
      <w:r>
        <w:rPr>
          <w:rFonts w:ascii="Verdana" w:hAnsi="Verdana"/>
          <w:sz w:val="20"/>
          <w:szCs w:val="20"/>
        </w:rPr>
        <w:t>‘</w:t>
      </w:r>
      <w:r w:rsidR="00F052A5">
        <w:rPr>
          <w:rFonts w:ascii="Verdana" w:hAnsi="Verdana"/>
          <w:sz w:val="20"/>
          <w:szCs w:val="20"/>
        </w:rPr>
        <w:t>…</w:t>
      </w:r>
      <w:r w:rsidR="002A11B1" w:rsidRPr="002A11B1">
        <w:rPr>
          <w:rFonts w:ascii="Verdana" w:hAnsi="Verdana"/>
          <w:i/>
          <w:iCs/>
          <w:sz w:val="20"/>
          <w:szCs w:val="20"/>
        </w:rPr>
        <w:t>part of a building, and also includes any structure or part of a structure.</w:t>
      </w:r>
      <w:r w:rsidR="007457BE">
        <w:rPr>
          <w:rFonts w:ascii="Verdana" w:hAnsi="Verdana"/>
          <w:i/>
          <w:iCs/>
          <w:sz w:val="20"/>
          <w:szCs w:val="20"/>
        </w:rPr>
        <w:t>.</w:t>
      </w:r>
      <w:r w:rsidR="002A11B1" w:rsidRPr="002A11B1">
        <w:rPr>
          <w:rFonts w:ascii="Verdana" w:hAnsi="Verdana"/>
          <w:i/>
          <w:iCs/>
          <w:sz w:val="20"/>
          <w:szCs w:val="20"/>
        </w:rPr>
        <w:t>.but does not include a manufactured home, moveable dwelling or associated structure within the meaning of the Local Government Act 1993</w:t>
      </w:r>
      <w:r>
        <w:rPr>
          <w:rFonts w:ascii="Verdana" w:hAnsi="Verdana"/>
          <w:sz w:val="20"/>
          <w:szCs w:val="20"/>
        </w:rPr>
        <w:t>’</w:t>
      </w:r>
    </w:p>
    <w:p w14:paraId="49C91957" w14:textId="776C5030" w:rsidR="002A11B1" w:rsidRDefault="00264DCC" w:rsidP="009E64B2">
      <w:pPr>
        <w:rPr>
          <w:rFonts w:ascii="Verdana" w:hAnsi="Verdana"/>
          <w:sz w:val="20"/>
          <w:szCs w:val="20"/>
        </w:rPr>
      </w:pPr>
      <w:r>
        <w:rPr>
          <w:rFonts w:ascii="Verdana" w:hAnsi="Verdana"/>
          <w:sz w:val="20"/>
          <w:szCs w:val="20"/>
        </w:rPr>
        <w:t>His Honour held</w:t>
      </w:r>
      <w:r w:rsidR="00447494">
        <w:rPr>
          <w:rFonts w:ascii="Verdana" w:hAnsi="Verdana"/>
          <w:sz w:val="20"/>
          <w:szCs w:val="20"/>
        </w:rPr>
        <w:t xml:space="preserve"> that </w:t>
      </w:r>
      <w:r w:rsidR="008206B6">
        <w:rPr>
          <w:rFonts w:ascii="Verdana" w:hAnsi="Verdana"/>
          <w:i/>
          <w:iCs/>
          <w:sz w:val="20"/>
          <w:szCs w:val="20"/>
        </w:rPr>
        <w:t>‘</w:t>
      </w:r>
      <w:r w:rsidR="00447494" w:rsidRPr="00447494">
        <w:rPr>
          <w:rFonts w:ascii="Verdana" w:hAnsi="Verdana"/>
          <w:i/>
          <w:iCs/>
          <w:sz w:val="20"/>
          <w:szCs w:val="20"/>
        </w:rPr>
        <w:t xml:space="preserve">… the definition of </w:t>
      </w:r>
      <w:r w:rsidR="008206B6">
        <w:rPr>
          <w:rFonts w:ascii="Verdana" w:hAnsi="Verdana"/>
          <w:i/>
          <w:iCs/>
          <w:sz w:val="20"/>
          <w:szCs w:val="20"/>
        </w:rPr>
        <w:t>‘</w:t>
      </w:r>
      <w:r w:rsidR="00447494" w:rsidRPr="00447494">
        <w:rPr>
          <w:rFonts w:ascii="Verdana" w:hAnsi="Verdana"/>
          <w:i/>
          <w:iCs/>
          <w:sz w:val="20"/>
          <w:szCs w:val="20"/>
        </w:rPr>
        <w:t>building work</w:t>
      </w:r>
      <w:r w:rsidR="008206B6">
        <w:rPr>
          <w:rFonts w:ascii="Verdana" w:hAnsi="Verdana"/>
          <w:i/>
          <w:iCs/>
          <w:sz w:val="20"/>
          <w:szCs w:val="20"/>
        </w:rPr>
        <w:t>’</w:t>
      </w:r>
      <w:r w:rsidR="00447494" w:rsidRPr="00447494">
        <w:rPr>
          <w:rFonts w:ascii="Verdana" w:hAnsi="Verdana"/>
          <w:i/>
          <w:iCs/>
          <w:sz w:val="20"/>
          <w:szCs w:val="20"/>
        </w:rPr>
        <w:t xml:space="preserve"> in s36 of the DBP Act is an inclusive, not an exclusive, definition</w:t>
      </w:r>
      <w:r w:rsidR="008206B6">
        <w:rPr>
          <w:rFonts w:ascii="Verdana" w:hAnsi="Verdana"/>
          <w:i/>
          <w:iCs/>
          <w:sz w:val="20"/>
          <w:szCs w:val="20"/>
        </w:rPr>
        <w:t>’</w:t>
      </w:r>
      <w:r w:rsidR="004624D7">
        <w:rPr>
          <w:rFonts w:ascii="Verdana" w:hAnsi="Verdana"/>
          <w:sz w:val="20"/>
          <w:szCs w:val="20"/>
        </w:rPr>
        <w:t xml:space="preserve">. </w:t>
      </w:r>
      <w:r w:rsidR="008953AD">
        <w:rPr>
          <w:rFonts w:ascii="Verdana" w:hAnsi="Verdana"/>
          <w:sz w:val="20"/>
          <w:szCs w:val="20"/>
        </w:rPr>
        <w:t xml:space="preserve">That is, just because the boarding house </w:t>
      </w:r>
      <w:r w:rsidR="004624D7">
        <w:rPr>
          <w:rFonts w:ascii="Verdana" w:hAnsi="Verdana"/>
          <w:sz w:val="20"/>
          <w:szCs w:val="20"/>
        </w:rPr>
        <w:t xml:space="preserve">in this case </w:t>
      </w:r>
      <w:r w:rsidR="008953AD" w:rsidRPr="008953AD">
        <w:rPr>
          <w:rFonts w:ascii="Verdana" w:hAnsi="Verdana"/>
          <w:sz w:val="20"/>
          <w:szCs w:val="20"/>
        </w:rPr>
        <w:t xml:space="preserve">is not a dwelling within the meaning of the HBA </w:t>
      </w:r>
      <w:r w:rsidR="008953AD">
        <w:rPr>
          <w:rFonts w:ascii="Verdana" w:hAnsi="Verdana"/>
          <w:sz w:val="20"/>
          <w:szCs w:val="20"/>
        </w:rPr>
        <w:t>does not pre</w:t>
      </w:r>
      <w:r w:rsidR="001B565D">
        <w:rPr>
          <w:rFonts w:ascii="Verdana" w:hAnsi="Verdana"/>
          <w:sz w:val="20"/>
          <w:szCs w:val="20"/>
        </w:rPr>
        <w:t>vent it</w:t>
      </w:r>
      <w:r w:rsidR="008953AD">
        <w:rPr>
          <w:rFonts w:ascii="Verdana" w:hAnsi="Verdana"/>
          <w:sz w:val="20"/>
          <w:szCs w:val="20"/>
        </w:rPr>
        <w:t xml:space="preserve"> from still being </w:t>
      </w:r>
      <w:r w:rsidR="008206B6">
        <w:rPr>
          <w:rFonts w:ascii="Verdana" w:hAnsi="Verdana"/>
          <w:sz w:val="20"/>
          <w:szCs w:val="20"/>
        </w:rPr>
        <w:t>‘</w:t>
      </w:r>
      <w:r w:rsidR="008953AD">
        <w:rPr>
          <w:rFonts w:ascii="Verdana" w:hAnsi="Verdana"/>
          <w:sz w:val="20"/>
          <w:szCs w:val="20"/>
        </w:rPr>
        <w:t>building work</w:t>
      </w:r>
      <w:r w:rsidR="008206B6">
        <w:rPr>
          <w:rFonts w:ascii="Verdana" w:hAnsi="Verdana"/>
          <w:sz w:val="20"/>
          <w:szCs w:val="20"/>
        </w:rPr>
        <w:t>’</w:t>
      </w:r>
      <w:r w:rsidR="008953AD">
        <w:rPr>
          <w:rFonts w:ascii="Verdana" w:hAnsi="Verdana"/>
          <w:sz w:val="20"/>
          <w:szCs w:val="20"/>
        </w:rPr>
        <w:t xml:space="preserve"> </w:t>
      </w:r>
      <w:r w:rsidR="001B565D">
        <w:rPr>
          <w:rFonts w:ascii="Verdana" w:hAnsi="Verdana"/>
          <w:sz w:val="20"/>
          <w:szCs w:val="20"/>
        </w:rPr>
        <w:t xml:space="preserve">relating to a </w:t>
      </w:r>
      <w:r w:rsidR="008206B6">
        <w:rPr>
          <w:rFonts w:ascii="Verdana" w:hAnsi="Verdana"/>
          <w:sz w:val="20"/>
          <w:szCs w:val="20"/>
        </w:rPr>
        <w:t>‘</w:t>
      </w:r>
      <w:r w:rsidR="001B565D">
        <w:rPr>
          <w:rFonts w:ascii="Verdana" w:hAnsi="Verdana"/>
          <w:sz w:val="20"/>
          <w:szCs w:val="20"/>
        </w:rPr>
        <w:t>building</w:t>
      </w:r>
      <w:r w:rsidR="008206B6">
        <w:rPr>
          <w:rFonts w:ascii="Verdana" w:hAnsi="Verdana"/>
          <w:sz w:val="20"/>
          <w:szCs w:val="20"/>
        </w:rPr>
        <w:t>’</w:t>
      </w:r>
      <w:r w:rsidR="001B565D">
        <w:rPr>
          <w:rFonts w:ascii="Verdana" w:hAnsi="Verdana"/>
          <w:sz w:val="20"/>
          <w:szCs w:val="20"/>
        </w:rPr>
        <w:t xml:space="preserve"> u</w:t>
      </w:r>
      <w:r w:rsidR="008953AD">
        <w:rPr>
          <w:rFonts w:ascii="Verdana" w:hAnsi="Verdana"/>
          <w:sz w:val="20"/>
          <w:szCs w:val="20"/>
        </w:rPr>
        <w:t xml:space="preserve">nder the </w:t>
      </w:r>
      <w:r w:rsidR="004408E9">
        <w:rPr>
          <w:rFonts w:ascii="Verdana" w:hAnsi="Verdana"/>
          <w:sz w:val="20"/>
          <w:szCs w:val="20"/>
        </w:rPr>
        <w:t xml:space="preserve">DBP </w:t>
      </w:r>
      <w:r w:rsidR="008953AD">
        <w:rPr>
          <w:rFonts w:ascii="Verdana" w:hAnsi="Verdana"/>
          <w:sz w:val="20"/>
          <w:szCs w:val="20"/>
        </w:rPr>
        <w:t>Act</w:t>
      </w:r>
      <w:r w:rsidR="00D07A1B">
        <w:rPr>
          <w:rFonts w:ascii="Verdana" w:hAnsi="Verdana"/>
          <w:sz w:val="20"/>
          <w:szCs w:val="20"/>
        </w:rPr>
        <w:t>.</w:t>
      </w:r>
    </w:p>
    <w:p w14:paraId="38C87B21" w14:textId="5BD362A3" w:rsidR="000D173B" w:rsidRDefault="007802C3" w:rsidP="009E64B2">
      <w:pPr>
        <w:rPr>
          <w:rFonts w:ascii="Verdana" w:hAnsi="Verdana"/>
          <w:sz w:val="20"/>
          <w:szCs w:val="20"/>
        </w:rPr>
      </w:pPr>
      <w:r>
        <w:rPr>
          <w:rFonts w:ascii="Verdana" w:hAnsi="Verdana"/>
          <w:sz w:val="20"/>
          <w:szCs w:val="20"/>
        </w:rPr>
        <w:t xml:space="preserve">Following </w:t>
      </w:r>
      <w:r w:rsidRPr="00AF451D">
        <w:rPr>
          <w:rFonts w:ascii="Verdana" w:hAnsi="Verdana"/>
          <w:i/>
          <w:iCs/>
          <w:sz w:val="20"/>
          <w:szCs w:val="20"/>
        </w:rPr>
        <w:t>Goodwin v DSD</w:t>
      </w:r>
      <w:r>
        <w:rPr>
          <w:rFonts w:ascii="Verdana" w:hAnsi="Verdana"/>
          <w:sz w:val="20"/>
          <w:szCs w:val="20"/>
        </w:rPr>
        <w:t xml:space="preserve">, </w:t>
      </w:r>
      <w:r w:rsidR="00A63591">
        <w:rPr>
          <w:rFonts w:ascii="Verdana" w:hAnsi="Verdana"/>
          <w:sz w:val="20"/>
          <w:szCs w:val="20"/>
        </w:rPr>
        <w:t>the extension of the DBP Act to new clas</w:t>
      </w:r>
      <w:r w:rsidR="00AF451D">
        <w:rPr>
          <w:rFonts w:ascii="Verdana" w:hAnsi="Verdana"/>
          <w:sz w:val="20"/>
          <w:szCs w:val="20"/>
        </w:rPr>
        <w:t>s</w:t>
      </w:r>
      <w:r w:rsidR="00A63591">
        <w:rPr>
          <w:rFonts w:ascii="Verdana" w:hAnsi="Verdana"/>
          <w:sz w:val="20"/>
          <w:szCs w:val="20"/>
        </w:rPr>
        <w:t>es of buildings</w:t>
      </w:r>
      <w:r w:rsidR="00AF451D">
        <w:rPr>
          <w:rFonts w:ascii="Verdana" w:hAnsi="Verdana"/>
          <w:sz w:val="20"/>
          <w:szCs w:val="20"/>
        </w:rPr>
        <w:t xml:space="preserve"> applies only to </w:t>
      </w:r>
      <w:r w:rsidR="00A63591">
        <w:rPr>
          <w:rFonts w:ascii="Verdana" w:hAnsi="Verdana"/>
          <w:sz w:val="20"/>
          <w:szCs w:val="20"/>
        </w:rPr>
        <w:t>part 4 of the DBP Act</w:t>
      </w:r>
      <w:r w:rsidR="00AF451D">
        <w:rPr>
          <w:rFonts w:ascii="Verdana" w:hAnsi="Verdana"/>
          <w:sz w:val="20"/>
          <w:szCs w:val="20"/>
        </w:rPr>
        <w:t xml:space="preserve"> and the statutory duty of care</w:t>
      </w:r>
      <w:r w:rsidR="00A63591">
        <w:rPr>
          <w:rFonts w:ascii="Verdana" w:hAnsi="Verdana"/>
          <w:sz w:val="20"/>
          <w:szCs w:val="20"/>
        </w:rPr>
        <w:t xml:space="preserve"> (rather than</w:t>
      </w:r>
      <w:r w:rsidR="00A63591" w:rsidRPr="00A63591">
        <w:rPr>
          <w:rFonts w:ascii="Verdana" w:eastAsia="Times New Roman" w:hAnsi="Verdana" w:cs="Calibri"/>
          <w:sz w:val="20"/>
          <w:szCs w:val="20"/>
          <w:lang w:eastAsia="en-AU"/>
        </w:rPr>
        <w:t xml:space="preserve"> </w:t>
      </w:r>
      <w:r w:rsidR="00A63591">
        <w:rPr>
          <w:rFonts w:ascii="Verdana" w:eastAsia="Times New Roman" w:hAnsi="Verdana" w:cs="Calibri"/>
          <w:sz w:val="20"/>
          <w:szCs w:val="20"/>
          <w:lang w:eastAsia="en-AU"/>
        </w:rPr>
        <w:t>other aspect</w:t>
      </w:r>
      <w:r w:rsidR="00AF451D">
        <w:rPr>
          <w:rFonts w:ascii="Verdana" w:eastAsia="Times New Roman" w:hAnsi="Verdana" w:cs="Calibri"/>
          <w:sz w:val="20"/>
          <w:szCs w:val="20"/>
          <w:lang w:eastAsia="en-AU"/>
        </w:rPr>
        <w:t>s</w:t>
      </w:r>
      <w:r w:rsidR="00A63591">
        <w:rPr>
          <w:rFonts w:ascii="Verdana" w:eastAsia="Times New Roman" w:hAnsi="Verdana" w:cs="Calibri"/>
          <w:sz w:val="20"/>
          <w:szCs w:val="20"/>
          <w:lang w:eastAsia="en-AU"/>
        </w:rPr>
        <w:t xml:space="preserve"> of the DBP Act such as regulated designs, Design Compliance Declarations and registrations</w:t>
      </w:r>
      <w:r w:rsidR="00AF451D">
        <w:rPr>
          <w:rFonts w:ascii="Verdana" w:eastAsia="Times New Roman" w:hAnsi="Verdana" w:cs="Calibri"/>
          <w:sz w:val="20"/>
          <w:szCs w:val="20"/>
          <w:lang w:eastAsia="en-AU"/>
        </w:rPr>
        <w:t xml:space="preserve"> which are still linked to class 2 buildings, or part thereof)</w:t>
      </w:r>
      <w:r w:rsidR="000D173B">
        <w:rPr>
          <w:rFonts w:ascii="Verdana" w:eastAsia="Times New Roman" w:hAnsi="Verdana" w:cs="Calibri"/>
          <w:sz w:val="20"/>
          <w:szCs w:val="20"/>
          <w:lang w:eastAsia="en-AU"/>
        </w:rPr>
        <w:t>.</w:t>
      </w:r>
    </w:p>
    <w:p w14:paraId="51A031A2" w14:textId="0580B29C" w:rsidR="00D07A1B" w:rsidRDefault="00023BB9" w:rsidP="00D07A1B">
      <w:pPr>
        <w:rPr>
          <w:rFonts w:ascii="Verdana" w:eastAsia="Times New Roman" w:hAnsi="Verdana" w:cs="Calibri"/>
          <w:b/>
          <w:bCs/>
          <w:sz w:val="20"/>
          <w:szCs w:val="20"/>
          <w:lang w:eastAsia="en-AU"/>
        </w:rPr>
      </w:pPr>
      <w:r w:rsidRPr="007E54B4">
        <w:rPr>
          <w:rFonts w:ascii="Verdana" w:eastAsia="Times New Roman" w:hAnsi="Verdana" w:cs="Calibri"/>
          <w:b/>
          <w:bCs/>
          <w:noProof/>
          <w:sz w:val="20"/>
          <w:szCs w:val="20"/>
          <w:lang w:eastAsia="en-AU"/>
        </w:rPr>
        <mc:AlternateContent>
          <mc:Choice Requires="wps">
            <w:drawing>
              <wp:anchor distT="45720" distB="45720" distL="114300" distR="114300" simplePos="0" relativeHeight="251665408" behindDoc="0" locked="0" layoutInCell="1" allowOverlap="1" wp14:anchorId="05CC0678" wp14:editId="3550BA7A">
                <wp:simplePos x="0" y="0"/>
                <wp:positionH relativeFrom="margin">
                  <wp:align>center</wp:align>
                </wp:positionH>
                <wp:positionV relativeFrom="paragraph">
                  <wp:posOffset>440435</wp:posOffset>
                </wp:positionV>
                <wp:extent cx="6115050" cy="1389380"/>
                <wp:effectExtent l="0" t="0" r="19050"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389380"/>
                        </a:xfrm>
                        <a:prstGeom prst="rect">
                          <a:avLst/>
                        </a:prstGeom>
                        <a:solidFill>
                          <a:srgbClr val="FFFFFF"/>
                        </a:solidFill>
                        <a:ln w="9525">
                          <a:solidFill>
                            <a:srgbClr val="000000"/>
                          </a:solidFill>
                          <a:miter lim="800000"/>
                          <a:headEnd/>
                          <a:tailEnd/>
                        </a:ln>
                      </wps:spPr>
                      <wps:txbx>
                        <w:txbxContent>
                          <w:p w14:paraId="7EE495D9" w14:textId="77777777" w:rsidR="0067432F" w:rsidRDefault="005C1A75" w:rsidP="0067432F">
                            <w:pPr>
                              <w:jc w:val="both"/>
                              <w:rPr>
                                <w:rFonts w:ascii="Verdana" w:hAnsi="Verdana"/>
                                <w:i/>
                                <w:iCs/>
                                <w:sz w:val="20"/>
                                <w:szCs w:val="20"/>
                              </w:rPr>
                            </w:pPr>
                            <w:r w:rsidRPr="005C1A75">
                              <w:rPr>
                                <w:rFonts w:ascii="Verdana" w:hAnsi="Verdana"/>
                                <w:i/>
                                <w:iCs/>
                                <w:sz w:val="20"/>
                                <w:szCs w:val="20"/>
                              </w:rPr>
                              <w:t>The statutory duty of care under Part 4 of the DBP Act can be owed personally, even if you are not a director of a company, or the nominated registered design practitioner under the DBP Act, if your services include</w:t>
                            </w:r>
                            <w:r w:rsidR="0067432F">
                              <w:rPr>
                                <w:rFonts w:ascii="Verdana" w:hAnsi="Verdana"/>
                                <w:i/>
                                <w:iCs/>
                                <w:sz w:val="20"/>
                                <w:szCs w:val="20"/>
                              </w:rPr>
                              <w:t>:</w:t>
                            </w:r>
                          </w:p>
                          <w:p w14:paraId="22559DB8" w14:textId="77777777" w:rsidR="0067432F" w:rsidRPr="00F672D8" w:rsidRDefault="0067432F" w:rsidP="0067432F">
                            <w:pPr>
                              <w:pStyle w:val="ListParagraph"/>
                              <w:numPr>
                                <w:ilvl w:val="0"/>
                                <w:numId w:val="7"/>
                              </w:numPr>
                              <w:jc w:val="both"/>
                              <w:rPr>
                                <w:rFonts w:ascii="Verdana" w:hAnsi="Verdana"/>
                                <w:i/>
                                <w:iCs/>
                                <w:sz w:val="20"/>
                                <w:szCs w:val="20"/>
                              </w:rPr>
                            </w:pPr>
                            <w:r w:rsidRPr="008206B6">
                              <w:rPr>
                                <w:rFonts w:ascii="Verdana" w:hAnsi="Verdana"/>
                                <w:i/>
                                <w:iCs/>
                                <w:color w:val="000000"/>
                                <w:sz w:val="20"/>
                                <w:szCs w:val="20"/>
                                <w:shd w:val="clear" w:color="auto" w:fill="FFFFFF"/>
                              </w:rPr>
                              <w:t>the preparation of regulated designs and other designs for building work</w:t>
                            </w:r>
                            <w:r w:rsidRPr="00F672D8">
                              <w:rPr>
                                <w:rFonts w:ascii="Verdana" w:hAnsi="Verdana"/>
                                <w:i/>
                                <w:iCs/>
                                <w:sz w:val="20"/>
                                <w:szCs w:val="20"/>
                              </w:rPr>
                              <w:t xml:space="preserve">; or </w:t>
                            </w:r>
                          </w:p>
                          <w:p w14:paraId="2F13C1CC" w14:textId="4B046460" w:rsidR="005C1A75" w:rsidRPr="008206B6" w:rsidRDefault="005C1A75" w:rsidP="008206B6">
                            <w:pPr>
                              <w:pStyle w:val="ListParagraph"/>
                              <w:numPr>
                                <w:ilvl w:val="0"/>
                                <w:numId w:val="7"/>
                              </w:numPr>
                              <w:jc w:val="both"/>
                              <w:rPr>
                                <w:rFonts w:ascii="Verdana" w:hAnsi="Verdana"/>
                                <w:i/>
                                <w:iCs/>
                                <w:sz w:val="20"/>
                                <w:szCs w:val="20"/>
                              </w:rPr>
                            </w:pPr>
                            <w:r w:rsidRPr="008206B6">
                              <w:rPr>
                                <w:rFonts w:ascii="Verdana" w:hAnsi="Verdana"/>
                                <w:i/>
                                <w:iCs/>
                                <w:sz w:val="20"/>
                                <w:szCs w:val="20"/>
                              </w:rPr>
                              <w:t xml:space="preserve">the acts of supervising, coordinating, project managing or otherwise having substantive control over the carrying out of any building work or regulated designs </w:t>
                            </w:r>
                            <w:r w:rsidR="000F3D09">
                              <w:rPr>
                                <w:rFonts w:ascii="Verdana" w:hAnsi="Verdana"/>
                                <w:i/>
                                <w:iCs/>
                                <w:sz w:val="20"/>
                                <w:szCs w:val="20"/>
                              </w:rPr>
                              <w:t>or other designs for building work</w:t>
                            </w:r>
                            <w:r w:rsidRPr="008206B6">
                              <w:rPr>
                                <w:rFonts w:ascii="Verdana" w:hAnsi="Verdana"/>
                                <w:i/>
                                <w:iCs/>
                                <w:sz w:val="20"/>
                                <w:szCs w:val="20"/>
                              </w:rPr>
                              <w:t>.</w:t>
                            </w:r>
                          </w:p>
                          <w:p w14:paraId="65EC32C6" w14:textId="3A356FEE" w:rsidR="007E54B4" w:rsidRPr="009E3486" w:rsidRDefault="007E54B4">
                            <w:pPr>
                              <w:rPr>
                                <w:rFonts w:ascii="Verdana" w:hAnsi="Verdana"/>
                                <w:i/>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C0678" id="_x0000_s1029" type="#_x0000_t202" style="position:absolute;margin-left:0;margin-top:34.7pt;width:481.5pt;height:109.4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">
                <v:textbox>
                  <w:txbxContent>
                    <w:p w14:paraId="7EE495D9" w14:textId="77777777" w:rsidR="0067432F" w:rsidRDefault="005C1A75" w:rsidP="0067432F">
                      <w:pPr>
                        <w:jc w:val="both"/>
                        <w:rPr>
                          <w:rFonts w:ascii="Verdana" w:hAnsi="Verdana"/>
                          <w:i/>
                          <w:iCs/>
                          <w:sz w:val="20"/>
                          <w:szCs w:val="20"/>
                        </w:rPr>
                      </w:pPr>
                      <w:r w:rsidRPr="005C1A75">
                        <w:rPr>
                          <w:rFonts w:ascii="Verdana" w:hAnsi="Verdana"/>
                          <w:i/>
                          <w:iCs/>
                          <w:sz w:val="20"/>
                          <w:szCs w:val="20"/>
                        </w:rPr>
                        <w:t>The statutory duty of care under Part 4 of the DBP Act can be owed personally, even if you are not a director of a company, or the nominated registered design practitioner under the DBP Act, if your services include</w:t>
                      </w:r>
                      <w:r w:rsidR="0067432F">
                        <w:rPr>
                          <w:rFonts w:ascii="Verdana" w:hAnsi="Verdana"/>
                          <w:i/>
                          <w:iCs/>
                          <w:sz w:val="20"/>
                          <w:szCs w:val="20"/>
                        </w:rPr>
                        <w:t>:</w:t>
                      </w:r>
                    </w:p>
                    <w:p w14:paraId="22559DB8" w14:textId="77777777" w:rsidR="0067432F" w:rsidRPr="00F672D8" w:rsidRDefault="0067432F" w:rsidP="0067432F">
                      <w:pPr>
                        <w:pStyle w:val="ListParagraph"/>
                        <w:numPr>
                          <w:ilvl w:val="0"/>
                          <w:numId w:val="7"/>
                        </w:numPr>
                        <w:jc w:val="both"/>
                        <w:rPr>
                          <w:rFonts w:ascii="Verdana" w:hAnsi="Verdana"/>
                          <w:i/>
                          <w:iCs/>
                          <w:sz w:val="20"/>
                          <w:szCs w:val="20"/>
                        </w:rPr>
                      </w:pPr>
                      <w:r w:rsidRPr="008206B6">
                        <w:rPr>
                          <w:rFonts w:ascii="Verdana" w:hAnsi="Verdana"/>
                          <w:i/>
                          <w:iCs/>
                          <w:color w:val="000000"/>
                          <w:sz w:val="20"/>
                          <w:szCs w:val="20"/>
                          <w:shd w:val="clear" w:color="auto" w:fill="FFFFFF"/>
                        </w:rPr>
                        <w:t>the preparation of regulated designs and other designs for building work</w:t>
                      </w:r>
                      <w:r w:rsidRPr="00F672D8">
                        <w:rPr>
                          <w:rFonts w:ascii="Verdana" w:hAnsi="Verdana"/>
                          <w:i/>
                          <w:iCs/>
                          <w:sz w:val="20"/>
                          <w:szCs w:val="20"/>
                        </w:rPr>
                        <w:t xml:space="preserve">; or </w:t>
                      </w:r>
                    </w:p>
                    <w:p w14:paraId="2F13C1CC" w14:textId="4B046460" w:rsidR="005C1A75" w:rsidRPr="008206B6" w:rsidRDefault="005C1A75" w:rsidP="008206B6">
                      <w:pPr>
                        <w:pStyle w:val="ListParagraph"/>
                        <w:numPr>
                          <w:ilvl w:val="0"/>
                          <w:numId w:val="7"/>
                        </w:numPr>
                        <w:jc w:val="both"/>
                        <w:rPr>
                          <w:rFonts w:ascii="Verdana" w:hAnsi="Verdana"/>
                          <w:i/>
                          <w:iCs/>
                          <w:sz w:val="20"/>
                          <w:szCs w:val="20"/>
                        </w:rPr>
                      </w:pPr>
                      <w:r w:rsidRPr="008206B6">
                        <w:rPr>
                          <w:rFonts w:ascii="Verdana" w:hAnsi="Verdana"/>
                          <w:i/>
                          <w:iCs/>
                          <w:sz w:val="20"/>
                          <w:szCs w:val="20"/>
                        </w:rPr>
                        <w:t xml:space="preserve">the acts of supervising, coordinating, project managing or otherwise having substantive control over the carrying out of any building work or regulated designs </w:t>
                      </w:r>
                      <w:r w:rsidR="000F3D09">
                        <w:rPr>
                          <w:rFonts w:ascii="Verdana" w:hAnsi="Verdana"/>
                          <w:i/>
                          <w:iCs/>
                          <w:sz w:val="20"/>
                          <w:szCs w:val="20"/>
                        </w:rPr>
                        <w:t>or other designs for building work</w:t>
                      </w:r>
                      <w:r w:rsidRPr="008206B6">
                        <w:rPr>
                          <w:rFonts w:ascii="Verdana" w:hAnsi="Verdana"/>
                          <w:i/>
                          <w:iCs/>
                          <w:sz w:val="20"/>
                          <w:szCs w:val="20"/>
                        </w:rPr>
                        <w:t>.</w:t>
                      </w:r>
                    </w:p>
                    <w:p w14:paraId="65EC32C6" w14:textId="3A356FEE" w:rsidR="007E54B4" w:rsidRPr="009E3486" w:rsidRDefault="007E54B4">
                      <w:pPr>
                        <w:rPr>
                          <w:rFonts w:ascii="Verdana" w:hAnsi="Verdana"/>
                          <w:i/>
                          <w:iCs/>
                          <w:sz w:val="20"/>
                          <w:szCs w:val="20"/>
                        </w:rPr>
                      </w:pPr>
                    </w:p>
                  </w:txbxContent>
                </v:textbox>
                <w10:wrap type="square" anchorx="margin"/>
              </v:shape>
            </w:pict>
          </mc:Fallback>
        </mc:AlternateContent>
      </w:r>
      <w:r w:rsidR="00D07A1B">
        <w:rPr>
          <w:rFonts w:ascii="Verdana" w:eastAsia="Times New Roman" w:hAnsi="Verdana" w:cs="Calibri"/>
          <w:b/>
          <w:bCs/>
          <w:sz w:val="20"/>
          <w:szCs w:val="20"/>
          <w:lang w:eastAsia="en-AU"/>
        </w:rPr>
        <w:t>Can a</w:t>
      </w:r>
      <w:r w:rsidR="00CA5051">
        <w:rPr>
          <w:rFonts w:ascii="Verdana" w:eastAsia="Times New Roman" w:hAnsi="Verdana" w:cs="Calibri"/>
          <w:b/>
          <w:bCs/>
          <w:sz w:val="20"/>
          <w:szCs w:val="20"/>
          <w:lang w:eastAsia="en-AU"/>
        </w:rPr>
        <w:t xml:space="preserve">n </w:t>
      </w:r>
      <w:r w:rsidR="009E3486">
        <w:rPr>
          <w:rFonts w:ascii="Verdana" w:eastAsia="Times New Roman" w:hAnsi="Verdana" w:cs="Calibri"/>
          <w:b/>
          <w:bCs/>
          <w:sz w:val="20"/>
          <w:szCs w:val="20"/>
          <w:lang w:eastAsia="en-AU"/>
        </w:rPr>
        <w:t>architect</w:t>
      </w:r>
      <w:r w:rsidR="00425249">
        <w:rPr>
          <w:rFonts w:ascii="Verdana" w:eastAsia="Times New Roman" w:hAnsi="Verdana" w:cs="Calibri"/>
          <w:b/>
          <w:bCs/>
          <w:sz w:val="20"/>
          <w:szCs w:val="20"/>
          <w:lang w:eastAsia="en-AU"/>
        </w:rPr>
        <w:t xml:space="preserve"> </w:t>
      </w:r>
      <w:r w:rsidR="00CA5051">
        <w:rPr>
          <w:rFonts w:ascii="Verdana" w:eastAsia="Times New Roman" w:hAnsi="Verdana" w:cs="Calibri"/>
          <w:b/>
          <w:bCs/>
          <w:sz w:val="20"/>
          <w:szCs w:val="20"/>
          <w:lang w:eastAsia="en-AU"/>
        </w:rPr>
        <w:t>be held individually liable</w:t>
      </w:r>
      <w:r w:rsidR="00D07A1B">
        <w:rPr>
          <w:rFonts w:ascii="Verdana" w:eastAsia="Times New Roman" w:hAnsi="Verdana" w:cs="Calibri"/>
          <w:b/>
          <w:bCs/>
          <w:sz w:val="20"/>
          <w:szCs w:val="20"/>
          <w:lang w:eastAsia="en-AU"/>
        </w:rPr>
        <w:t xml:space="preserve"> </w:t>
      </w:r>
      <w:r w:rsidR="00CA5051">
        <w:rPr>
          <w:rFonts w:ascii="Verdana" w:eastAsia="Times New Roman" w:hAnsi="Verdana" w:cs="Calibri"/>
          <w:b/>
          <w:bCs/>
          <w:sz w:val="20"/>
          <w:szCs w:val="20"/>
          <w:lang w:eastAsia="en-AU"/>
        </w:rPr>
        <w:t xml:space="preserve">even </w:t>
      </w:r>
      <w:r w:rsidR="003D5EB8">
        <w:rPr>
          <w:rFonts w:ascii="Verdana" w:eastAsia="Times New Roman" w:hAnsi="Verdana" w:cs="Calibri"/>
          <w:b/>
          <w:bCs/>
          <w:sz w:val="20"/>
          <w:szCs w:val="20"/>
          <w:lang w:eastAsia="en-AU"/>
        </w:rPr>
        <w:t>if</w:t>
      </w:r>
      <w:r w:rsidR="00CA5051">
        <w:rPr>
          <w:rFonts w:ascii="Verdana" w:eastAsia="Times New Roman" w:hAnsi="Verdana" w:cs="Calibri"/>
          <w:b/>
          <w:bCs/>
          <w:sz w:val="20"/>
          <w:szCs w:val="20"/>
          <w:lang w:eastAsia="en-AU"/>
        </w:rPr>
        <w:t xml:space="preserve"> they are not the nominated registered design practitioner</w:t>
      </w:r>
      <w:r w:rsidR="00425249">
        <w:rPr>
          <w:rFonts w:ascii="Verdana" w:eastAsia="Times New Roman" w:hAnsi="Verdana" w:cs="Calibri"/>
          <w:b/>
          <w:bCs/>
          <w:sz w:val="20"/>
          <w:szCs w:val="20"/>
          <w:lang w:eastAsia="en-AU"/>
        </w:rPr>
        <w:t>, or performing</w:t>
      </w:r>
      <w:r w:rsidR="00EB364C">
        <w:rPr>
          <w:rFonts w:ascii="Verdana" w:eastAsia="Times New Roman" w:hAnsi="Verdana" w:cs="Calibri"/>
          <w:b/>
          <w:bCs/>
          <w:sz w:val="20"/>
          <w:szCs w:val="20"/>
          <w:lang w:eastAsia="en-AU"/>
        </w:rPr>
        <w:t xml:space="preserve"> the</w:t>
      </w:r>
      <w:r w:rsidR="00425249">
        <w:rPr>
          <w:rFonts w:ascii="Verdana" w:eastAsia="Times New Roman" w:hAnsi="Verdana" w:cs="Calibri"/>
          <w:b/>
          <w:bCs/>
          <w:sz w:val="20"/>
          <w:szCs w:val="20"/>
          <w:lang w:eastAsia="en-AU"/>
        </w:rPr>
        <w:t xml:space="preserve"> design services</w:t>
      </w:r>
      <w:r w:rsidR="00D07A1B" w:rsidRPr="006B5035">
        <w:rPr>
          <w:rFonts w:ascii="Verdana" w:eastAsia="Times New Roman" w:hAnsi="Verdana" w:cs="Calibri"/>
          <w:b/>
          <w:bCs/>
          <w:sz w:val="20"/>
          <w:szCs w:val="20"/>
          <w:lang w:eastAsia="en-AU"/>
        </w:rPr>
        <w:t>?</w:t>
      </w:r>
    </w:p>
    <w:p w14:paraId="266D1389" w14:textId="72EAC66D" w:rsidR="00F672D8" w:rsidRDefault="00475585" w:rsidP="00F672D8">
      <w:pPr>
        <w:rPr>
          <w:rFonts w:ascii="Verdana" w:eastAsia="Times New Roman" w:hAnsi="Verdana" w:cs="Calibri"/>
          <w:sz w:val="20"/>
          <w:szCs w:val="20"/>
          <w:lang w:eastAsia="en-AU"/>
        </w:rPr>
      </w:pPr>
      <w:r w:rsidRPr="00F672D8">
        <w:rPr>
          <w:rFonts w:ascii="Verdana" w:eastAsia="Times New Roman" w:hAnsi="Verdana" w:cs="Calibri"/>
          <w:sz w:val="20"/>
          <w:szCs w:val="20"/>
          <w:lang w:eastAsia="en-AU"/>
        </w:rPr>
        <w:t xml:space="preserve">Stevenson J </w:t>
      </w:r>
      <w:r w:rsidR="00AD0A4F" w:rsidRPr="00F672D8">
        <w:rPr>
          <w:rFonts w:ascii="Verdana" w:eastAsia="Times New Roman" w:hAnsi="Verdana" w:cs="Calibri"/>
          <w:sz w:val="20"/>
          <w:szCs w:val="20"/>
          <w:lang w:eastAsia="en-AU"/>
        </w:rPr>
        <w:t xml:space="preserve">in </w:t>
      </w:r>
      <w:r w:rsidR="00AD0A4F" w:rsidRPr="00F672D8">
        <w:rPr>
          <w:rFonts w:ascii="Verdana" w:eastAsia="Times New Roman" w:hAnsi="Verdana" w:cs="Calibri"/>
          <w:i/>
          <w:iCs/>
          <w:sz w:val="20"/>
          <w:szCs w:val="20"/>
          <w:lang w:eastAsia="en-AU"/>
        </w:rPr>
        <w:t>Goodwin</w:t>
      </w:r>
      <w:r w:rsidR="004C0ABD" w:rsidRPr="00F672D8">
        <w:rPr>
          <w:rFonts w:ascii="Verdana" w:eastAsia="Times New Roman" w:hAnsi="Verdana" w:cs="Calibri"/>
          <w:i/>
          <w:iCs/>
          <w:sz w:val="20"/>
          <w:szCs w:val="20"/>
          <w:lang w:eastAsia="en-AU"/>
        </w:rPr>
        <w:t xml:space="preserve"> v DSD</w:t>
      </w:r>
      <w:r w:rsidR="00F672D8">
        <w:rPr>
          <w:rFonts w:ascii="Verdana" w:eastAsia="Times New Roman" w:hAnsi="Verdana" w:cs="Calibri"/>
          <w:sz w:val="20"/>
          <w:szCs w:val="20"/>
          <w:lang w:eastAsia="en-AU"/>
        </w:rPr>
        <w:t xml:space="preserve"> </w:t>
      </w:r>
      <w:r w:rsidR="00425249">
        <w:rPr>
          <w:rFonts w:ascii="Verdana" w:eastAsia="Times New Roman" w:hAnsi="Verdana" w:cs="Calibri"/>
          <w:sz w:val="20"/>
          <w:szCs w:val="20"/>
          <w:lang w:eastAsia="en-AU"/>
        </w:rPr>
        <w:t xml:space="preserve">considered a similar question </w:t>
      </w:r>
      <w:r w:rsidR="00F672D8">
        <w:rPr>
          <w:rFonts w:ascii="Verdana" w:eastAsia="Times New Roman" w:hAnsi="Verdana" w:cs="Calibri"/>
          <w:sz w:val="20"/>
          <w:szCs w:val="20"/>
          <w:lang w:eastAsia="en-AU"/>
        </w:rPr>
        <w:t>with respect to an individual, Mr Roberts, acting as a representative of the builder</w:t>
      </w:r>
      <w:r w:rsidR="00AD0A4F" w:rsidRPr="00F672D8">
        <w:rPr>
          <w:rFonts w:ascii="Verdana" w:eastAsia="Times New Roman" w:hAnsi="Verdana" w:cs="Calibri"/>
          <w:i/>
          <w:iCs/>
          <w:sz w:val="20"/>
          <w:szCs w:val="20"/>
          <w:lang w:eastAsia="en-AU"/>
        </w:rPr>
        <w:t xml:space="preserve">. </w:t>
      </w:r>
      <w:r w:rsidR="00AD0A4F" w:rsidRPr="00F672D8">
        <w:rPr>
          <w:rFonts w:ascii="Verdana" w:eastAsia="Times New Roman" w:hAnsi="Verdana" w:cs="Calibri"/>
          <w:sz w:val="20"/>
          <w:szCs w:val="20"/>
          <w:lang w:eastAsia="en-AU"/>
        </w:rPr>
        <w:t>In th</w:t>
      </w:r>
      <w:r w:rsidRPr="00F672D8">
        <w:rPr>
          <w:rFonts w:ascii="Verdana" w:eastAsia="Times New Roman" w:hAnsi="Verdana" w:cs="Calibri"/>
          <w:sz w:val="20"/>
          <w:szCs w:val="20"/>
          <w:lang w:eastAsia="en-AU"/>
        </w:rPr>
        <w:t>at</w:t>
      </w:r>
      <w:r w:rsidR="00AD0A4F" w:rsidRPr="00F672D8">
        <w:rPr>
          <w:rFonts w:ascii="Verdana" w:eastAsia="Times New Roman" w:hAnsi="Verdana" w:cs="Calibri"/>
          <w:sz w:val="20"/>
          <w:szCs w:val="20"/>
          <w:lang w:eastAsia="en-AU"/>
        </w:rPr>
        <w:t xml:space="preserve"> matter the Developer entered into a building contract with DSD Builders Pty Ltd (Builder) to construct 3 residential boarding houses intended for student accommodation near the University of Newcastle. The Developer </w:t>
      </w:r>
      <w:r w:rsidR="00341D61" w:rsidRPr="00F672D8">
        <w:rPr>
          <w:rFonts w:ascii="Verdana" w:eastAsia="Times New Roman" w:hAnsi="Verdana" w:cs="Calibri"/>
          <w:sz w:val="20"/>
          <w:szCs w:val="20"/>
          <w:lang w:eastAsia="en-AU"/>
        </w:rPr>
        <w:t xml:space="preserve">commenced proceedings against the Builder in August 2018 and in April 2019 Mr Roberts was added as the second defendant. </w:t>
      </w:r>
      <w:r w:rsidR="00F672D8" w:rsidRPr="008206B6">
        <w:rPr>
          <w:rFonts w:ascii="Verdana" w:eastAsia="Times New Roman" w:hAnsi="Verdana" w:cs="Calibri"/>
          <w:sz w:val="20"/>
          <w:szCs w:val="20"/>
          <w:lang w:eastAsia="en-AU"/>
        </w:rPr>
        <w:t>Soon after, DSD was put into liquidation.</w:t>
      </w:r>
      <w:r w:rsidR="00F672D8">
        <w:rPr>
          <w:rFonts w:ascii="Verdana" w:eastAsia="Times New Roman" w:hAnsi="Verdana" w:cs="Calibri"/>
          <w:sz w:val="20"/>
          <w:szCs w:val="20"/>
          <w:lang w:eastAsia="en-AU"/>
        </w:rPr>
        <w:t xml:space="preserve"> </w:t>
      </w:r>
    </w:p>
    <w:p w14:paraId="05682A94" w14:textId="065B611E" w:rsidR="00341D61" w:rsidRDefault="00341D61" w:rsidP="00D07A1B">
      <w:pPr>
        <w:rPr>
          <w:rFonts w:ascii="Verdana" w:eastAsia="Times New Roman" w:hAnsi="Verdana" w:cs="Calibri"/>
          <w:sz w:val="20"/>
          <w:szCs w:val="20"/>
          <w:lang w:eastAsia="en-AU"/>
        </w:rPr>
      </w:pPr>
      <w:r>
        <w:rPr>
          <w:rFonts w:ascii="Verdana" w:eastAsia="Times New Roman" w:hAnsi="Verdana" w:cs="Calibri"/>
          <w:sz w:val="20"/>
          <w:szCs w:val="20"/>
          <w:lang w:eastAsia="en-AU"/>
        </w:rPr>
        <w:t xml:space="preserve">The Developer </w:t>
      </w:r>
      <w:r w:rsidR="00AD0A4F">
        <w:rPr>
          <w:rFonts w:ascii="Verdana" w:eastAsia="Times New Roman" w:hAnsi="Verdana" w:cs="Calibri"/>
          <w:sz w:val="20"/>
          <w:szCs w:val="20"/>
          <w:lang w:eastAsia="en-AU"/>
        </w:rPr>
        <w:t xml:space="preserve">alleged that Mr Roberts performed </w:t>
      </w:r>
      <w:r w:rsidR="008206B6">
        <w:rPr>
          <w:rFonts w:ascii="Verdana" w:eastAsia="Times New Roman" w:hAnsi="Verdana" w:cs="Calibri"/>
          <w:sz w:val="20"/>
          <w:szCs w:val="20"/>
          <w:lang w:eastAsia="en-AU"/>
        </w:rPr>
        <w:t>‘</w:t>
      </w:r>
      <w:r w:rsidR="00AD0A4F">
        <w:rPr>
          <w:rFonts w:ascii="Verdana" w:eastAsia="Times New Roman" w:hAnsi="Verdana" w:cs="Calibri"/>
          <w:sz w:val="20"/>
          <w:szCs w:val="20"/>
          <w:lang w:eastAsia="en-AU"/>
        </w:rPr>
        <w:t>construction work</w:t>
      </w:r>
      <w:r w:rsidR="008206B6">
        <w:rPr>
          <w:rFonts w:ascii="Verdana" w:eastAsia="Times New Roman" w:hAnsi="Verdana" w:cs="Calibri"/>
          <w:sz w:val="20"/>
          <w:szCs w:val="20"/>
          <w:lang w:eastAsia="en-AU"/>
        </w:rPr>
        <w:t>’</w:t>
      </w:r>
      <w:r w:rsidR="00AD0A4F">
        <w:rPr>
          <w:rFonts w:ascii="Verdana" w:eastAsia="Times New Roman" w:hAnsi="Verdana" w:cs="Calibri"/>
          <w:sz w:val="20"/>
          <w:szCs w:val="20"/>
          <w:lang w:eastAsia="en-AU"/>
        </w:rPr>
        <w:t xml:space="preserve"> under the meaning of</w:t>
      </w:r>
      <w:r w:rsidR="00F052A5">
        <w:rPr>
          <w:rFonts w:ascii="Verdana" w:eastAsia="Times New Roman" w:hAnsi="Verdana" w:cs="Calibri"/>
          <w:sz w:val="20"/>
          <w:szCs w:val="20"/>
          <w:lang w:eastAsia="en-AU"/>
        </w:rPr>
        <w:t xml:space="preserve"> Part 4 of</w:t>
      </w:r>
      <w:r w:rsidR="00AD0A4F">
        <w:rPr>
          <w:rFonts w:ascii="Verdana" w:eastAsia="Times New Roman" w:hAnsi="Verdana" w:cs="Calibri"/>
          <w:sz w:val="20"/>
          <w:szCs w:val="20"/>
          <w:lang w:eastAsia="en-AU"/>
        </w:rPr>
        <w:t xml:space="preserve"> the DBP Act</w:t>
      </w:r>
      <w:r>
        <w:rPr>
          <w:rFonts w:ascii="Verdana" w:eastAsia="Times New Roman" w:hAnsi="Verdana" w:cs="Calibri"/>
          <w:sz w:val="20"/>
          <w:szCs w:val="20"/>
          <w:lang w:eastAsia="en-AU"/>
        </w:rPr>
        <w:t xml:space="preserve"> in negotiating the building contract, administering the building contract and controlling and supervising the construction work on the site on behalf of the Builder</w:t>
      </w:r>
      <w:r w:rsidR="00475585">
        <w:rPr>
          <w:rFonts w:ascii="Verdana" w:eastAsia="Times New Roman" w:hAnsi="Verdana" w:cs="Calibri"/>
          <w:sz w:val="20"/>
          <w:szCs w:val="20"/>
          <w:lang w:eastAsia="en-AU"/>
        </w:rPr>
        <w:t xml:space="preserve"> and</w:t>
      </w:r>
      <w:r w:rsidR="005F5A91">
        <w:rPr>
          <w:rFonts w:ascii="Verdana" w:eastAsia="Times New Roman" w:hAnsi="Verdana" w:cs="Calibri"/>
          <w:sz w:val="20"/>
          <w:szCs w:val="20"/>
          <w:lang w:eastAsia="en-AU"/>
        </w:rPr>
        <w:t xml:space="preserve"> breached his statutory duty of care under s37 of the DBP Act to avoid economic loss by failing to identify defects in the buildings </w:t>
      </w:r>
      <w:r w:rsidR="005F5A91">
        <w:rPr>
          <w:rFonts w:ascii="Verdana" w:eastAsia="Times New Roman" w:hAnsi="Verdana" w:cs="Calibri"/>
          <w:sz w:val="20"/>
          <w:szCs w:val="20"/>
          <w:lang w:eastAsia="en-AU"/>
        </w:rPr>
        <w:lastRenderedPageBreak/>
        <w:t>the subject of the construction work. The developer claimed $300,000 from Mr Roberts, being the cost to rectify the building defects.</w:t>
      </w:r>
    </w:p>
    <w:p w14:paraId="537797EA" w14:textId="254C3C33" w:rsidR="005F5A91" w:rsidRDefault="00E17FAC" w:rsidP="00D07A1B">
      <w:pPr>
        <w:rPr>
          <w:rFonts w:ascii="Verdana" w:eastAsia="Times New Roman" w:hAnsi="Verdana" w:cs="Calibri"/>
          <w:sz w:val="20"/>
          <w:szCs w:val="20"/>
          <w:lang w:eastAsia="en-AU"/>
        </w:rPr>
      </w:pPr>
      <w:r>
        <w:rPr>
          <w:rFonts w:ascii="Verdana" w:eastAsia="Times New Roman" w:hAnsi="Verdana" w:cs="Calibri"/>
          <w:sz w:val="20"/>
          <w:szCs w:val="20"/>
          <w:lang w:eastAsia="en-AU"/>
        </w:rPr>
        <w:t>On consideration of the evidence, Stevenson J [at 137-138] held that</w:t>
      </w:r>
      <w:r w:rsidR="00475585">
        <w:rPr>
          <w:rFonts w:ascii="Verdana" w:eastAsia="Times New Roman" w:hAnsi="Verdana" w:cs="Calibri"/>
          <w:sz w:val="20"/>
          <w:szCs w:val="20"/>
          <w:lang w:eastAsia="en-AU"/>
        </w:rPr>
        <w:t xml:space="preserve"> Mr Roberts had performed construction work and</w:t>
      </w:r>
      <w:r>
        <w:rPr>
          <w:rFonts w:ascii="Verdana" w:eastAsia="Times New Roman" w:hAnsi="Verdana" w:cs="Calibri"/>
          <w:sz w:val="20"/>
          <w:szCs w:val="20"/>
          <w:lang w:eastAsia="en-AU"/>
        </w:rPr>
        <w:t xml:space="preserve"> </w:t>
      </w:r>
      <w:r w:rsidR="008206B6">
        <w:rPr>
          <w:rFonts w:ascii="Verdana" w:eastAsia="Times New Roman" w:hAnsi="Verdana" w:cs="Calibri"/>
          <w:sz w:val="20"/>
          <w:szCs w:val="20"/>
          <w:lang w:eastAsia="en-AU"/>
        </w:rPr>
        <w:t>‘</w:t>
      </w:r>
      <w:r w:rsidR="00475585">
        <w:rPr>
          <w:rFonts w:ascii="Verdana" w:eastAsia="Times New Roman" w:hAnsi="Verdana" w:cs="Calibri"/>
          <w:i/>
          <w:iCs/>
          <w:sz w:val="20"/>
          <w:szCs w:val="20"/>
          <w:lang w:eastAsia="en-AU"/>
        </w:rPr>
        <w:t>…</w:t>
      </w:r>
      <w:r w:rsidRPr="00E17FAC">
        <w:rPr>
          <w:rFonts w:ascii="Verdana" w:eastAsia="Times New Roman" w:hAnsi="Verdana" w:cs="Calibri"/>
          <w:i/>
          <w:iCs/>
          <w:sz w:val="20"/>
          <w:szCs w:val="20"/>
          <w:lang w:eastAsia="en-AU"/>
        </w:rPr>
        <w:t xml:space="preserve">was not only engaging in project management of the site but also in supervision of the construction. He was therefore engaging in </w:t>
      </w:r>
      <w:r w:rsidR="008206B6">
        <w:rPr>
          <w:rFonts w:ascii="Verdana" w:eastAsia="Times New Roman" w:hAnsi="Verdana" w:cs="Calibri"/>
          <w:i/>
          <w:iCs/>
          <w:sz w:val="20"/>
          <w:szCs w:val="20"/>
          <w:lang w:eastAsia="en-AU"/>
        </w:rPr>
        <w:t>‘</w:t>
      </w:r>
      <w:r w:rsidRPr="00E17FAC">
        <w:rPr>
          <w:rFonts w:ascii="Verdana" w:eastAsia="Times New Roman" w:hAnsi="Verdana" w:cs="Calibri"/>
          <w:i/>
          <w:iCs/>
          <w:sz w:val="20"/>
          <w:szCs w:val="20"/>
          <w:lang w:eastAsia="en-AU"/>
        </w:rPr>
        <w:t>construction work</w:t>
      </w:r>
      <w:r w:rsidR="008206B6">
        <w:rPr>
          <w:rFonts w:ascii="Verdana" w:eastAsia="Times New Roman" w:hAnsi="Verdana" w:cs="Calibri"/>
          <w:i/>
          <w:iCs/>
          <w:sz w:val="20"/>
          <w:szCs w:val="20"/>
          <w:lang w:eastAsia="en-AU"/>
        </w:rPr>
        <w:t>’</w:t>
      </w:r>
      <w:r w:rsidRPr="00E17FAC">
        <w:rPr>
          <w:rFonts w:ascii="Verdana" w:eastAsia="Times New Roman" w:hAnsi="Verdana" w:cs="Calibri"/>
          <w:i/>
          <w:iCs/>
          <w:sz w:val="20"/>
          <w:szCs w:val="20"/>
          <w:lang w:eastAsia="en-AU"/>
        </w:rPr>
        <w:t xml:space="preserve"> for the purpose of Pt 4 of the DBP Act</w:t>
      </w:r>
      <w:r w:rsidR="008206B6">
        <w:rPr>
          <w:rFonts w:ascii="Verdana" w:eastAsia="Times New Roman" w:hAnsi="Verdana" w:cs="Calibri"/>
          <w:sz w:val="20"/>
          <w:szCs w:val="20"/>
          <w:lang w:eastAsia="en-AU"/>
        </w:rPr>
        <w:t>’</w:t>
      </w:r>
      <w:r>
        <w:rPr>
          <w:rFonts w:ascii="Verdana" w:eastAsia="Times New Roman" w:hAnsi="Verdana" w:cs="Calibri"/>
          <w:sz w:val="20"/>
          <w:szCs w:val="20"/>
          <w:lang w:eastAsia="en-AU"/>
        </w:rPr>
        <w:t>.</w:t>
      </w:r>
    </w:p>
    <w:p w14:paraId="11276287" w14:textId="2B5AA871" w:rsidR="00941BE2" w:rsidRDefault="005F5A91" w:rsidP="0096234A">
      <w:pPr>
        <w:rPr>
          <w:rFonts w:ascii="Verdana" w:eastAsia="Times New Roman" w:hAnsi="Verdana" w:cs="Calibri"/>
          <w:sz w:val="20"/>
          <w:szCs w:val="20"/>
          <w:lang w:eastAsia="en-AU"/>
        </w:rPr>
      </w:pPr>
      <w:r>
        <w:rPr>
          <w:rFonts w:ascii="Verdana" w:eastAsia="Times New Roman" w:hAnsi="Verdana" w:cs="Calibri"/>
          <w:sz w:val="20"/>
          <w:szCs w:val="20"/>
          <w:lang w:eastAsia="en-AU"/>
        </w:rPr>
        <w:t>Hi</w:t>
      </w:r>
      <w:r w:rsidR="00E17FAC">
        <w:rPr>
          <w:rFonts w:ascii="Verdana" w:eastAsia="Times New Roman" w:hAnsi="Verdana" w:cs="Calibri"/>
          <w:sz w:val="20"/>
          <w:szCs w:val="20"/>
          <w:lang w:eastAsia="en-AU"/>
        </w:rPr>
        <w:t>s</w:t>
      </w:r>
      <w:r>
        <w:rPr>
          <w:rFonts w:ascii="Verdana" w:eastAsia="Times New Roman" w:hAnsi="Verdana" w:cs="Calibri"/>
          <w:sz w:val="20"/>
          <w:szCs w:val="20"/>
          <w:lang w:eastAsia="en-AU"/>
        </w:rPr>
        <w:t xml:space="preserve"> Honour</w:t>
      </w:r>
      <w:r w:rsidR="00475585">
        <w:rPr>
          <w:rFonts w:ascii="Verdana" w:eastAsia="Times New Roman" w:hAnsi="Verdana" w:cs="Calibri"/>
          <w:sz w:val="20"/>
          <w:szCs w:val="20"/>
          <w:lang w:eastAsia="en-AU"/>
        </w:rPr>
        <w:t xml:space="preserve"> also</w:t>
      </w:r>
      <w:r>
        <w:rPr>
          <w:rFonts w:ascii="Verdana" w:eastAsia="Times New Roman" w:hAnsi="Verdana" w:cs="Calibri"/>
          <w:sz w:val="20"/>
          <w:szCs w:val="20"/>
          <w:lang w:eastAsia="en-AU"/>
        </w:rPr>
        <w:t xml:space="preserve"> held [at 19 and 20] that Mr Roberts breach</w:t>
      </w:r>
      <w:r w:rsidR="00E17FAC">
        <w:rPr>
          <w:rFonts w:ascii="Verdana" w:eastAsia="Times New Roman" w:hAnsi="Verdana" w:cs="Calibri"/>
          <w:sz w:val="20"/>
          <w:szCs w:val="20"/>
          <w:lang w:eastAsia="en-AU"/>
        </w:rPr>
        <w:t>ed</w:t>
      </w:r>
      <w:r>
        <w:rPr>
          <w:rFonts w:ascii="Verdana" w:eastAsia="Times New Roman" w:hAnsi="Verdana" w:cs="Calibri"/>
          <w:sz w:val="20"/>
          <w:szCs w:val="20"/>
          <w:lang w:eastAsia="en-AU"/>
        </w:rPr>
        <w:t xml:space="preserve"> of his duty of care under the DBP Act and was</w:t>
      </w:r>
      <w:r w:rsidR="00FE44C0">
        <w:rPr>
          <w:rFonts w:ascii="Verdana" w:eastAsia="Times New Roman" w:hAnsi="Verdana" w:cs="Calibri"/>
          <w:sz w:val="20"/>
          <w:szCs w:val="20"/>
          <w:lang w:eastAsia="en-AU"/>
        </w:rPr>
        <w:t xml:space="preserve"> personally</w:t>
      </w:r>
      <w:r>
        <w:rPr>
          <w:rFonts w:ascii="Verdana" w:eastAsia="Times New Roman" w:hAnsi="Verdana" w:cs="Calibri"/>
          <w:sz w:val="20"/>
          <w:szCs w:val="20"/>
          <w:lang w:eastAsia="en-AU"/>
        </w:rPr>
        <w:t xml:space="preserve"> liable to pay the Developer the costs of rectifying the defects.</w:t>
      </w:r>
    </w:p>
    <w:bookmarkEnd w:id="0"/>
    <w:p w14:paraId="7F28A358" w14:textId="5025D84E" w:rsidR="00C82EB7" w:rsidRDefault="003D5EB8" w:rsidP="003D5EB8">
      <w:pPr>
        <w:rPr>
          <w:rFonts w:ascii="Verdana" w:hAnsi="Verdana"/>
          <w:sz w:val="20"/>
          <w:szCs w:val="20"/>
        </w:rPr>
      </w:pPr>
      <w:r>
        <w:rPr>
          <w:rFonts w:ascii="Verdana" w:hAnsi="Verdana"/>
          <w:sz w:val="20"/>
          <w:szCs w:val="20"/>
        </w:rPr>
        <w:t xml:space="preserve">Employees are usually covered under the practice’s PI Insurance policy. The main issue if is the practice (i.e. your employer) does not exist in the future or does not have insurance. This is something to be aware of and you can still be sued personally. </w:t>
      </w:r>
      <w:r w:rsidR="00941BE2">
        <w:rPr>
          <w:rFonts w:ascii="Verdana" w:hAnsi="Verdana"/>
          <w:sz w:val="20"/>
          <w:szCs w:val="20"/>
        </w:rPr>
        <w:t>It may be possible for an individual architect to obtain</w:t>
      </w:r>
      <w:r>
        <w:rPr>
          <w:rFonts w:ascii="Verdana" w:hAnsi="Verdana"/>
          <w:sz w:val="20"/>
          <w:szCs w:val="20"/>
        </w:rPr>
        <w:t xml:space="preserve"> a </w:t>
      </w:r>
      <w:r w:rsidR="008206B6">
        <w:rPr>
          <w:rFonts w:ascii="Verdana" w:hAnsi="Verdana"/>
          <w:sz w:val="20"/>
          <w:szCs w:val="20"/>
        </w:rPr>
        <w:t>‘</w:t>
      </w:r>
      <w:r>
        <w:rPr>
          <w:rFonts w:ascii="Verdana" w:hAnsi="Verdana"/>
          <w:sz w:val="20"/>
          <w:szCs w:val="20"/>
        </w:rPr>
        <w:t>personal liability</w:t>
      </w:r>
      <w:r w:rsidR="008206B6">
        <w:rPr>
          <w:rFonts w:ascii="Verdana" w:hAnsi="Verdana"/>
          <w:sz w:val="20"/>
          <w:szCs w:val="20"/>
        </w:rPr>
        <w:t>’</w:t>
      </w:r>
      <w:r>
        <w:rPr>
          <w:rFonts w:ascii="Verdana" w:hAnsi="Verdana"/>
          <w:sz w:val="20"/>
          <w:szCs w:val="20"/>
        </w:rPr>
        <w:t xml:space="preserve"> </w:t>
      </w:r>
      <w:r w:rsidR="00941BE2">
        <w:rPr>
          <w:rFonts w:ascii="Verdana" w:hAnsi="Verdana"/>
          <w:sz w:val="20"/>
          <w:szCs w:val="20"/>
        </w:rPr>
        <w:t xml:space="preserve">policy </w:t>
      </w:r>
      <w:r>
        <w:rPr>
          <w:rFonts w:ascii="Verdana" w:hAnsi="Verdana"/>
          <w:sz w:val="20"/>
          <w:szCs w:val="20"/>
        </w:rPr>
        <w:t xml:space="preserve">sitting </w:t>
      </w:r>
      <w:r w:rsidR="005C1A75">
        <w:rPr>
          <w:rFonts w:ascii="Verdana" w:hAnsi="Verdana"/>
          <w:sz w:val="20"/>
          <w:szCs w:val="20"/>
        </w:rPr>
        <w:t>alongside</w:t>
      </w:r>
      <w:r>
        <w:rPr>
          <w:rFonts w:ascii="Verdana" w:hAnsi="Verdana"/>
          <w:sz w:val="20"/>
          <w:szCs w:val="20"/>
        </w:rPr>
        <w:t xml:space="preserve"> the </w:t>
      </w:r>
      <w:r w:rsidR="005C1A75">
        <w:rPr>
          <w:rFonts w:ascii="Verdana" w:hAnsi="Verdana"/>
          <w:sz w:val="20"/>
          <w:szCs w:val="20"/>
        </w:rPr>
        <w:t>employer’s</w:t>
      </w:r>
      <w:r>
        <w:rPr>
          <w:rFonts w:ascii="Verdana" w:hAnsi="Verdana"/>
          <w:sz w:val="20"/>
          <w:szCs w:val="20"/>
        </w:rPr>
        <w:t xml:space="preserve"> policy, however there may be issues of duplicate insurance and obviously additional costs associate</w:t>
      </w:r>
      <w:r w:rsidR="00A35D4B">
        <w:rPr>
          <w:rFonts w:ascii="Verdana" w:hAnsi="Verdana"/>
          <w:sz w:val="20"/>
          <w:szCs w:val="20"/>
        </w:rPr>
        <w:t>d</w:t>
      </w:r>
      <w:r>
        <w:rPr>
          <w:rFonts w:ascii="Verdana" w:hAnsi="Verdana"/>
          <w:sz w:val="20"/>
          <w:szCs w:val="20"/>
        </w:rPr>
        <w:t xml:space="preserve"> with this</w:t>
      </w:r>
      <w:r w:rsidR="00941BE2">
        <w:rPr>
          <w:rFonts w:ascii="Verdana" w:hAnsi="Verdana"/>
          <w:sz w:val="20"/>
          <w:szCs w:val="20"/>
        </w:rPr>
        <w:t xml:space="preserve">, so it is </w:t>
      </w:r>
      <w:r>
        <w:rPr>
          <w:rFonts w:ascii="Verdana" w:hAnsi="Verdana"/>
          <w:sz w:val="20"/>
          <w:szCs w:val="20"/>
        </w:rPr>
        <w:t xml:space="preserve">best discussed with the architect’s relevant </w:t>
      </w:r>
      <w:r w:rsidR="00941BE2">
        <w:rPr>
          <w:rFonts w:ascii="Verdana" w:hAnsi="Verdana"/>
          <w:sz w:val="20"/>
          <w:szCs w:val="20"/>
        </w:rPr>
        <w:t xml:space="preserve">insurance </w:t>
      </w:r>
      <w:r>
        <w:rPr>
          <w:rFonts w:ascii="Verdana" w:hAnsi="Verdana"/>
          <w:sz w:val="20"/>
          <w:szCs w:val="20"/>
        </w:rPr>
        <w:t>broker.</w:t>
      </w:r>
      <w:r w:rsidR="002A4E69" w:rsidRPr="003D5EB8">
        <w:rPr>
          <w:rFonts w:ascii="Verdana" w:hAnsi="Verdana"/>
          <w:sz w:val="20"/>
          <w:szCs w:val="20"/>
        </w:rPr>
        <w:t xml:space="preserve"> </w:t>
      </w:r>
    </w:p>
    <w:p w14:paraId="1DF01175" w14:textId="7AE2243C" w:rsidR="00941BE2" w:rsidRPr="008206B6" w:rsidRDefault="00941BE2" w:rsidP="003D5EB8">
      <w:pPr>
        <w:rPr>
          <w:rFonts w:ascii="Verdana" w:hAnsi="Verdana"/>
          <w:b/>
          <w:bCs/>
          <w:sz w:val="20"/>
          <w:szCs w:val="20"/>
        </w:rPr>
      </w:pPr>
      <w:r>
        <w:rPr>
          <w:rFonts w:ascii="Verdana" w:hAnsi="Verdana"/>
          <w:b/>
          <w:bCs/>
          <w:sz w:val="20"/>
          <w:szCs w:val="20"/>
        </w:rPr>
        <w:t xml:space="preserve">Key </w:t>
      </w:r>
      <w:r w:rsidR="001A117F">
        <w:rPr>
          <w:rFonts w:ascii="Verdana" w:hAnsi="Verdana"/>
          <w:b/>
          <w:bCs/>
          <w:sz w:val="20"/>
          <w:szCs w:val="20"/>
        </w:rPr>
        <w:t>T</w:t>
      </w:r>
      <w:r>
        <w:rPr>
          <w:rFonts w:ascii="Verdana" w:hAnsi="Verdana"/>
          <w:b/>
          <w:bCs/>
          <w:sz w:val="20"/>
          <w:szCs w:val="20"/>
        </w:rPr>
        <w:t>ake</w:t>
      </w:r>
      <w:r w:rsidR="001A117F">
        <w:rPr>
          <w:rFonts w:ascii="Verdana" w:hAnsi="Verdana"/>
          <w:b/>
          <w:bCs/>
          <w:sz w:val="20"/>
          <w:szCs w:val="20"/>
        </w:rPr>
        <w:t>-A</w:t>
      </w:r>
      <w:r>
        <w:rPr>
          <w:rFonts w:ascii="Verdana" w:hAnsi="Verdana"/>
          <w:b/>
          <w:bCs/>
          <w:sz w:val="20"/>
          <w:szCs w:val="20"/>
        </w:rPr>
        <w:t>ways</w:t>
      </w:r>
    </w:p>
    <w:p w14:paraId="6E1CADBC" w14:textId="06BBB51F" w:rsidR="00941BE2" w:rsidRDefault="00941BE2" w:rsidP="00941BE2">
      <w:pPr>
        <w:pStyle w:val="ListParagraph"/>
        <w:numPr>
          <w:ilvl w:val="0"/>
          <w:numId w:val="5"/>
        </w:numPr>
        <w:jc w:val="both"/>
        <w:rPr>
          <w:rFonts w:ascii="Verdana" w:hAnsi="Verdana"/>
          <w:sz w:val="20"/>
          <w:szCs w:val="20"/>
        </w:rPr>
      </w:pPr>
      <w:r>
        <w:rPr>
          <w:rFonts w:ascii="Verdana" w:hAnsi="Verdana"/>
          <w:sz w:val="20"/>
          <w:szCs w:val="20"/>
        </w:rPr>
        <w:t>s37 of the DBP Act gives architects a duty of care to each owner</w:t>
      </w:r>
      <w:r w:rsidR="00024155">
        <w:rPr>
          <w:rFonts w:ascii="Verdana" w:hAnsi="Verdana"/>
          <w:sz w:val="20"/>
          <w:szCs w:val="20"/>
        </w:rPr>
        <w:t xml:space="preserve"> and subsequent owner</w:t>
      </w:r>
      <w:r>
        <w:rPr>
          <w:rFonts w:ascii="Verdana" w:hAnsi="Verdana"/>
          <w:sz w:val="20"/>
          <w:szCs w:val="20"/>
        </w:rPr>
        <w:t xml:space="preserve"> of the land to which the architect’s design relates</w:t>
      </w:r>
    </w:p>
    <w:p w14:paraId="5369B2F6" w14:textId="077971E6" w:rsidR="00941BE2" w:rsidRPr="008206B6" w:rsidRDefault="00941BE2" w:rsidP="00941BE2">
      <w:pPr>
        <w:pStyle w:val="ListParagraph"/>
        <w:numPr>
          <w:ilvl w:val="0"/>
          <w:numId w:val="5"/>
        </w:numPr>
        <w:jc w:val="both"/>
        <w:rPr>
          <w:rFonts w:ascii="Verdana" w:hAnsi="Verdana"/>
          <w:sz w:val="20"/>
          <w:szCs w:val="20"/>
        </w:rPr>
      </w:pPr>
      <w:r>
        <w:rPr>
          <w:rFonts w:ascii="Verdana" w:eastAsia="Times New Roman" w:hAnsi="Verdana" w:cs="Calibri"/>
          <w:sz w:val="20"/>
          <w:szCs w:val="20"/>
          <w:lang w:eastAsia="en-AU"/>
        </w:rPr>
        <w:t xml:space="preserve">the s37 duty of care is retrospective, and enables the owner </w:t>
      </w:r>
      <w:r w:rsidR="00024155">
        <w:rPr>
          <w:rFonts w:ascii="Verdana" w:eastAsia="Times New Roman" w:hAnsi="Verdana" w:cs="Calibri"/>
          <w:sz w:val="20"/>
          <w:szCs w:val="20"/>
          <w:lang w:eastAsia="en-AU"/>
        </w:rPr>
        <w:t xml:space="preserve">and subsequent owner </w:t>
      </w:r>
      <w:r>
        <w:rPr>
          <w:rFonts w:ascii="Verdana" w:eastAsia="Times New Roman" w:hAnsi="Verdana" w:cs="Calibri"/>
          <w:sz w:val="20"/>
          <w:szCs w:val="20"/>
          <w:lang w:eastAsia="en-AU"/>
        </w:rPr>
        <w:t>of the land to sue you for defects that were first discovered after 10 June 201</w:t>
      </w:r>
      <w:r w:rsidR="008B20DB">
        <w:rPr>
          <w:rFonts w:ascii="Verdana" w:eastAsia="Times New Roman" w:hAnsi="Verdana" w:cs="Calibri"/>
          <w:sz w:val="20"/>
          <w:szCs w:val="20"/>
          <w:lang w:eastAsia="en-AU"/>
        </w:rPr>
        <w:t>0</w:t>
      </w:r>
      <w:r>
        <w:rPr>
          <w:rFonts w:ascii="Verdana" w:eastAsia="Times New Roman" w:hAnsi="Verdana" w:cs="Calibri"/>
          <w:sz w:val="20"/>
          <w:szCs w:val="20"/>
          <w:lang w:eastAsia="en-AU"/>
        </w:rPr>
        <w:t xml:space="preserve"> even if the work you did was earlier </w:t>
      </w:r>
      <w:r w:rsidR="00A35D4B">
        <w:rPr>
          <w:rFonts w:ascii="Verdana" w:eastAsia="Times New Roman" w:hAnsi="Verdana" w:cs="Calibri"/>
          <w:sz w:val="20"/>
          <w:szCs w:val="20"/>
          <w:lang w:eastAsia="en-AU"/>
        </w:rPr>
        <w:t xml:space="preserve">than </w:t>
      </w:r>
      <w:r>
        <w:rPr>
          <w:rFonts w:ascii="Verdana" w:eastAsia="Times New Roman" w:hAnsi="Verdana" w:cs="Calibri"/>
          <w:sz w:val="20"/>
          <w:szCs w:val="20"/>
          <w:lang w:eastAsia="en-AU"/>
        </w:rPr>
        <w:t>that and even if you did not work directly for that owner</w:t>
      </w:r>
    </w:p>
    <w:p w14:paraId="0A928E66" w14:textId="77777777" w:rsidR="008B20DB" w:rsidRPr="00C51C93" w:rsidRDefault="008B20DB" w:rsidP="008B20DB">
      <w:pPr>
        <w:pStyle w:val="ListParagraph"/>
        <w:numPr>
          <w:ilvl w:val="0"/>
          <w:numId w:val="5"/>
        </w:numPr>
        <w:jc w:val="both"/>
        <w:rPr>
          <w:rFonts w:ascii="Verdana" w:hAnsi="Verdana"/>
          <w:i/>
          <w:iCs/>
          <w:sz w:val="20"/>
          <w:szCs w:val="20"/>
        </w:rPr>
      </w:pPr>
      <w:r>
        <w:rPr>
          <w:rFonts w:ascii="Verdana" w:hAnsi="Verdana"/>
          <w:sz w:val="20"/>
          <w:szCs w:val="20"/>
        </w:rPr>
        <w:t xml:space="preserve">Following </w:t>
      </w:r>
      <w:r w:rsidRPr="00C51C93">
        <w:rPr>
          <w:rFonts w:ascii="Verdana" w:hAnsi="Verdana"/>
          <w:i/>
          <w:iCs/>
          <w:sz w:val="20"/>
          <w:szCs w:val="20"/>
        </w:rPr>
        <w:t>Goodwin v DSD</w:t>
      </w:r>
      <w:r>
        <w:rPr>
          <w:rFonts w:ascii="Verdana" w:hAnsi="Verdana"/>
          <w:i/>
          <w:iCs/>
          <w:sz w:val="20"/>
          <w:szCs w:val="20"/>
        </w:rPr>
        <w:t>,</w:t>
      </w:r>
      <w:r>
        <w:rPr>
          <w:rFonts w:ascii="Verdana" w:hAnsi="Verdana"/>
          <w:sz w:val="20"/>
          <w:szCs w:val="20"/>
        </w:rPr>
        <w:t xml:space="preserve"> architects performing design services for building work for a building under the definition of ‘building’ under the EPPA, i.e. other than Class 2 buildings, may be held to the s37 duty of care.</w:t>
      </w:r>
    </w:p>
    <w:p w14:paraId="336D88CB" w14:textId="77777777" w:rsidR="008B20DB" w:rsidRPr="008206B6" w:rsidRDefault="008B20DB" w:rsidP="008B20DB">
      <w:pPr>
        <w:pStyle w:val="ListParagraph"/>
        <w:numPr>
          <w:ilvl w:val="0"/>
          <w:numId w:val="5"/>
        </w:numPr>
        <w:jc w:val="both"/>
        <w:rPr>
          <w:rFonts w:ascii="Verdana" w:hAnsi="Verdana"/>
          <w:i/>
          <w:iCs/>
          <w:sz w:val="20"/>
          <w:szCs w:val="20"/>
        </w:rPr>
      </w:pPr>
      <w:r>
        <w:rPr>
          <w:rFonts w:ascii="Verdana" w:hAnsi="Verdana"/>
          <w:sz w:val="20"/>
          <w:szCs w:val="20"/>
        </w:rPr>
        <w:t>As the definition in s36 of ‘construction work’ includes ‘</w:t>
      </w:r>
      <w:r w:rsidRPr="00C51C93">
        <w:rPr>
          <w:rFonts w:ascii="Verdana" w:hAnsi="Verdana"/>
          <w:i/>
          <w:iCs/>
          <w:sz w:val="20"/>
          <w:szCs w:val="20"/>
        </w:rPr>
        <w:t>the supervision, coordinating, project managing or otherwise having substantive control over the carrying out of any work</w:t>
      </w:r>
      <w:r>
        <w:rPr>
          <w:rFonts w:ascii="Verdana" w:hAnsi="Verdana"/>
          <w:sz w:val="20"/>
          <w:szCs w:val="20"/>
        </w:rPr>
        <w:t>’ including building work, the preparation of regulated designs or other designs for building work, i</w:t>
      </w:r>
      <w:r w:rsidRPr="00C51C93">
        <w:rPr>
          <w:rFonts w:ascii="Verdana" w:hAnsi="Verdana"/>
          <w:sz w:val="20"/>
          <w:szCs w:val="20"/>
        </w:rPr>
        <w:t>t is possible</w:t>
      </w:r>
      <w:r>
        <w:rPr>
          <w:rFonts w:ascii="Verdana" w:hAnsi="Verdana"/>
          <w:sz w:val="20"/>
          <w:szCs w:val="20"/>
        </w:rPr>
        <w:t xml:space="preserve">, following </w:t>
      </w:r>
      <w:r w:rsidRPr="00C51C93">
        <w:rPr>
          <w:rFonts w:ascii="Verdana" w:hAnsi="Verdana"/>
          <w:i/>
          <w:iCs/>
          <w:sz w:val="20"/>
          <w:szCs w:val="20"/>
        </w:rPr>
        <w:t>Goodwin v DSD</w:t>
      </w:r>
      <w:r>
        <w:rPr>
          <w:rFonts w:ascii="Verdana" w:hAnsi="Verdana"/>
          <w:sz w:val="20"/>
          <w:szCs w:val="20"/>
        </w:rPr>
        <w:t>,</w:t>
      </w:r>
      <w:r w:rsidRPr="00C51C93">
        <w:rPr>
          <w:rFonts w:ascii="Verdana" w:hAnsi="Verdana"/>
          <w:sz w:val="20"/>
          <w:szCs w:val="20"/>
        </w:rPr>
        <w:t xml:space="preserve"> that s37 could allow individual architects to be sued, especially if their role equates to supervision</w:t>
      </w:r>
      <w:r>
        <w:rPr>
          <w:rFonts w:ascii="Verdana" w:hAnsi="Verdana"/>
          <w:sz w:val="20"/>
          <w:szCs w:val="20"/>
        </w:rPr>
        <w:t xml:space="preserve"> or substantive control</w:t>
      </w:r>
      <w:r w:rsidRPr="00C51C93">
        <w:rPr>
          <w:rFonts w:ascii="Verdana" w:hAnsi="Verdana"/>
          <w:sz w:val="20"/>
          <w:szCs w:val="20"/>
        </w:rPr>
        <w:t xml:space="preserve"> of the building work or </w:t>
      </w:r>
      <w:r w:rsidRPr="00E4506B">
        <w:rPr>
          <w:rFonts w:ascii="Verdana" w:hAnsi="Verdana"/>
          <w:sz w:val="20"/>
          <w:szCs w:val="20"/>
        </w:rPr>
        <w:t>preparation of regulated designs or other designs for building work</w:t>
      </w:r>
      <w:r w:rsidRPr="00C51C93">
        <w:rPr>
          <w:rFonts w:ascii="Verdana" w:hAnsi="Verdana"/>
          <w:sz w:val="20"/>
          <w:szCs w:val="20"/>
        </w:rPr>
        <w:t xml:space="preserve">. </w:t>
      </w:r>
    </w:p>
    <w:p w14:paraId="5B794C7C" w14:textId="1742474D" w:rsidR="00941BE2" w:rsidRPr="008206B6" w:rsidRDefault="00FA1DB9" w:rsidP="005C1A75">
      <w:pPr>
        <w:jc w:val="both"/>
        <w:rPr>
          <w:rFonts w:ascii="Verdana" w:hAnsi="Verdana"/>
          <w:b/>
          <w:bCs/>
          <w:sz w:val="20"/>
          <w:szCs w:val="20"/>
        </w:rPr>
      </w:pPr>
      <w:r>
        <w:rPr>
          <w:rFonts w:ascii="Verdana" w:hAnsi="Verdana"/>
          <w:b/>
          <w:bCs/>
          <w:sz w:val="20"/>
          <w:szCs w:val="20"/>
        </w:rPr>
        <w:t>Managing Your Risk</w:t>
      </w:r>
    </w:p>
    <w:p w14:paraId="6D1B2DDB" w14:textId="396A5346" w:rsidR="00FA1DB9" w:rsidRDefault="00FA1DB9" w:rsidP="00FA1DB9">
      <w:pPr>
        <w:pStyle w:val="ListParagraph"/>
        <w:numPr>
          <w:ilvl w:val="0"/>
          <w:numId w:val="6"/>
        </w:numPr>
        <w:jc w:val="both"/>
        <w:rPr>
          <w:rFonts w:ascii="Verdana" w:hAnsi="Verdana"/>
          <w:sz w:val="20"/>
          <w:szCs w:val="20"/>
        </w:rPr>
      </w:pPr>
      <w:r>
        <w:rPr>
          <w:rFonts w:ascii="Verdana" w:hAnsi="Verdana"/>
          <w:sz w:val="20"/>
          <w:szCs w:val="20"/>
        </w:rPr>
        <w:t xml:space="preserve">The </w:t>
      </w:r>
      <w:r w:rsidR="004553AA">
        <w:rPr>
          <w:rFonts w:ascii="Verdana" w:hAnsi="Verdana"/>
          <w:sz w:val="20"/>
          <w:szCs w:val="20"/>
        </w:rPr>
        <w:t xml:space="preserve">s37 </w:t>
      </w:r>
      <w:r w:rsidR="00C70E9F">
        <w:rPr>
          <w:rFonts w:ascii="Verdana" w:hAnsi="Verdana"/>
          <w:sz w:val="20"/>
          <w:szCs w:val="20"/>
        </w:rPr>
        <w:t>statutory</w:t>
      </w:r>
      <w:r>
        <w:rPr>
          <w:rFonts w:ascii="Verdana" w:hAnsi="Verdana"/>
          <w:sz w:val="20"/>
          <w:szCs w:val="20"/>
        </w:rPr>
        <w:t xml:space="preserve"> duty </w:t>
      </w:r>
      <w:r w:rsidR="00C70E9F">
        <w:rPr>
          <w:rFonts w:ascii="Verdana" w:hAnsi="Verdana"/>
          <w:sz w:val="20"/>
          <w:szCs w:val="20"/>
        </w:rPr>
        <w:t xml:space="preserve">of care </w:t>
      </w:r>
      <w:r>
        <w:rPr>
          <w:rFonts w:ascii="Verdana" w:hAnsi="Verdana"/>
          <w:sz w:val="20"/>
          <w:szCs w:val="20"/>
        </w:rPr>
        <w:t>applies automatically</w:t>
      </w:r>
      <w:r w:rsidR="000F3D09">
        <w:rPr>
          <w:rFonts w:ascii="Verdana" w:hAnsi="Verdana"/>
          <w:sz w:val="20"/>
          <w:szCs w:val="20"/>
        </w:rPr>
        <w:t xml:space="preserve"> and cannot be contracted out of.</w:t>
      </w:r>
      <w:r>
        <w:rPr>
          <w:rFonts w:ascii="Verdana" w:hAnsi="Verdana"/>
          <w:sz w:val="20"/>
          <w:szCs w:val="20"/>
        </w:rPr>
        <w:t xml:space="preserve"> </w:t>
      </w:r>
      <w:r w:rsidR="000F3D09">
        <w:rPr>
          <w:rFonts w:ascii="Verdana" w:hAnsi="Verdana"/>
          <w:sz w:val="20"/>
          <w:szCs w:val="20"/>
        </w:rPr>
        <w:t xml:space="preserve">This means </w:t>
      </w:r>
      <w:r>
        <w:rPr>
          <w:rFonts w:ascii="Verdana" w:hAnsi="Verdana"/>
          <w:sz w:val="20"/>
          <w:szCs w:val="20"/>
        </w:rPr>
        <w:t>there is not much you can do to avoid it, especially for past projects.</w:t>
      </w:r>
    </w:p>
    <w:p w14:paraId="14F178AB" w14:textId="46C263E4" w:rsidR="00FA1DB9" w:rsidRDefault="00FA1DB9" w:rsidP="00FA1DB9">
      <w:pPr>
        <w:pStyle w:val="ListParagraph"/>
        <w:numPr>
          <w:ilvl w:val="0"/>
          <w:numId w:val="6"/>
        </w:numPr>
        <w:jc w:val="both"/>
        <w:rPr>
          <w:rFonts w:ascii="Verdana" w:hAnsi="Verdana"/>
          <w:sz w:val="20"/>
          <w:szCs w:val="20"/>
        </w:rPr>
      </w:pPr>
      <w:r>
        <w:rPr>
          <w:rFonts w:ascii="Verdana" w:hAnsi="Verdana"/>
          <w:sz w:val="20"/>
          <w:szCs w:val="20"/>
        </w:rPr>
        <w:t xml:space="preserve">A typical PI Insurance policy would </w:t>
      </w:r>
      <w:r w:rsidR="00FF53A2">
        <w:rPr>
          <w:rFonts w:ascii="Verdana" w:hAnsi="Verdana"/>
          <w:sz w:val="20"/>
          <w:szCs w:val="20"/>
        </w:rPr>
        <w:t>usually</w:t>
      </w:r>
      <w:r>
        <w:rPr>
          <w:rFonts w:ascii="Verdana" w:hAnsi="Verdana"/>
          <w:sz w:val="20"/>
          <w:szCs w:val="20"/>
        </w:rPr>
        <w:t xml:space="preserve"> cover that </w:t>
      </w:r>
      <w:r w:rsidR="00FF53A2">
        <w:rPr>
          <w:rFonts w:ascii="Verdana" w:hAnsi="Verdana"/>
          <w:sz w:val="20"/>
          <w:szCs w:val="20"/>
        </w:rPr>
        <w:t>s37</w:t>
      </w:r>
      <w:r>
        <w:rPr>
          <w:rFonts w:ascii="Verdana" w:hAnsi="Verdana"/>
          <w:sz w:val="20"/>
          <w:szCs w:val="20"/>
        </w:rPr>
        <w:t xml:space="preserve"> </w:t>
      </w:r>
      <w:r w:rsidR="00EB364C">
        <w:rPr>
          <w:rFonts w:ascii="Verdana" w:hAnsi="Verdana"/>
          <w:sz w:val="20"/>
          <w:szCs w:val="20"/>
        </w:rPr>
        <w:t>duty unless</w:t>
      </w:r>
      <w:r>
        <w:rPr>
          <w:rFonts w:ascii="Verdana" w:hAnsi="Verdana"/>
          <w:sz w:val="20"/>
          <w:szCs w:val="20"/>
        </w:rPr>
        <w:t xml:space="preserve"> the policy has a specific exclusion for DBP Act</w:t>
      </w:r>
      <w:r w:rsidR="00FF53A2">
        <w:rPr>
          <w:rFonts w:ascii="Verdana" w:hAnsi="Verdana"/>
          <w:sz w:val="20"/>
          <w:szCs w:val="20"/>
        </w:rPr>
        <w:t>. Consult your insurance broker to confirm what coverage you have.</w:t>
      </w:r>
    </w:p>
    <w:p w14:paraId="2B3832A8" w14:textId="6FD17066" w:rsidR="00261AF6" w:rsidRDefault="00FF53A2" w:rsidP="00FA1DB9">
      <w:pPr>
        <w:pStyle w:val="ListParagraph"/>
        <w:numPr>
          <w:ilvl w:val="0"/>
          <w:numId w:val="6"/>
        </w:numPr>
        <w:jc w:val="both"/>
        <w:rPr>
          <w:rFonts w:ascii="Verdana" w:hAnsi="Verdana"/>
          <w:sz w:val="20"/>
          <w:szCs w:val="20"/>
        </w:rPr>
      </w:pPr>
      <w:r>
        <w:rPr>
          <w:rFonts w:ascii="Verdana" w:hAnsi="Verdana"/>
          <w:sz w:val="20"/>
          <w:szCs w:val="20"/>
        </w:rPr>
        <w:t>Employees concerned about being individual</w:t>
      </w:r>
      <w:r w:rsidR="004553AA">
        <w:rPr>
          <w:rFonts w:ascii="Verdana" w:hAnsi="Verdana"/>
          <w:sz w:val="20"/>
          <w:szCs w:val="20"/>
        </w:rPr>
        <w:t>ly</w:t>
      </w:r>
      <w:r>
        <w:rPr>
          <w:rFonts w:ascii="Verdana" w:hAnsi="Verdana"/>
          <w:sz w:val="20"/>
          <w:szCs w:val="20"/>
        </w:rPr>
        <w:t xml:space="preserve"> liable under s37 could discuss with their insurance broker obtaining a </w:t>
      </w:r>
      <w:r w:rsidR="008206B6">
        <w:rPr>
          <w:rFonts w:ascii="Verdana" w:hAnsi="Verdana"/>
          <w:sz w:val="20"/>
          <w:szCs w:val="20"/>
        </w:rPr>
        <w:t>‘</w:t>
      </w:r>
      <w:r>
        <w:rPr>
          <w:rFonts w:ascii="Verdana" w:hAnsi="Verdana"/>
          <w:sz w:val="20"/>
          <w:szCs w:val="20"/>
        </w:rPr>
        <w:t>personal liability</w:t>
      </w:r>
      <w:r w:rsidR="008206B6">
        <w:rPr>
          <w:rFonts w:ascii="Verdana" w:hAnsi="Verdana"/>
          <w:sz w:val="20"/>
          <w:szCs w:val="20"/>
        </w:rPr>
        <w:t>’</w:t>
      </w:r>
      <w:r>
        <w:rPr>
          <w:rFonts w:ascii="Verdana" w:hAnsi="Verdana"/>
          <w:sz w:val="20"/>
          <w:szCs w:val="20"/>
        </w:rPr>
        <w:t xml:space="preserve"> policy, to protect against the risk of their current employer not maintaining insurance in future years.</w:t>
      </w:r>
    </w:p>
    <w:p w14:paraId="433A4039" w14:textId="395A23BC" w:rsidR="005C1A75" w:rsidRPr="008206B6" w:rsidRDefault="00261AF6" w:rsidP="00261AF6">
      <w:pPr>
        <w:pStyle w:val="ListParagraph"/>
        <w:numPr>
          <w:ilvl w:val="0"/>
          <w:numId w:val="6"/>
        </w:numPr>
        <w:jc w:val="both"/>
        <w:rPr>
          <w:rFonts w:ascii="Verdana" w:hAnsi="Verdana"/>
          <w:sz w:val="20"/>
          <w:szCs w:val="20"/>
        </w:rPr>
      </w:pPr>
      <w:r>
        <w:rPr>
          <w:rFonts w:ascii="Verdana" w:hAnsi="Verdana"/>
          <w:sz w:val="20"/>
          <w:szCs w:val="20"/>
        </w:rPr>
        <w:t xml:space="preserve">Be very wary of consultancy agreements that give you obligations to comply with the DBP Act. If the consultancy agreement gives you any liability that exceeds your DBP Act obligations (e.g. to </w:t>
      </w:r>
      <w:r w:rsidR="008206B6">
        <w:rPr>
          <w:rFonts w:ascii="Verdana" w:hAnsi="Verdana"/>
          <w:sz w:val="20"/>
          <w:szCs w:val="20"/>
        </w:rPr>
        <w:t>‘</w:t>
      </w:r>
      <w:r>
        <w:rPr>
          <w:rFonts w:ascii="Verdana" w:hAnsi="Verdana"/>
          <w:sz w:val="20"/>
          <w:szCs w:val="20"/>
        </w:rPr>
        <w:t>warrant</w:t>
      </w:r>
      <w:r w:rsidR="008206B6">
        <w:rPr>
          <w:rFonts w:ascii="Verdana" w:hAnsi="Verdana"/>
          <w:sz w:val="20"/>
          <w:szCs w:val="20"/>
        </w:rPr>
        <w:t>’</w:t>
      </w:r>
      <w:r>
        <w:rPr>
          <w:rFonts w:ascii="Verdana" w:hAnsi="Verdana"/>
          <w:sz w:val="20"/>
          <w:szCs w:val="20"/>
        </w:rPr>
        <w:t xml:space="preserve"> outcomes, to </w:t>
      </w:r>
      <w:r w:rsidR="008206B6">
        <w:rPr>
          <w:rFonts w:ascii="Verdana" w:hAnsi="Verdana"/>
          <w:sz w:val="20"/>
          <w:szCs w:val="20"/>
        </w:rPr>
        <w:t>‘</w:t>
      </w:r>
      <w:r>
        <w:rPr>
          <w:rFonts w:ascii="Verdana" w:hAnsi="Verdana"/>
          <w:sz w:val="20"/>
          <w:szCs w:val="20"/>
        </w:rPr>
        <w:t>indemnify</w:t>
      </w:r>
      <w:r w:rsidR="008206B6">
        <w:rPr>
          <w:rFonts w:ascii="Verdana" w:hAnsi="Verdana"/>
          <w:sz w:val="20"/>
          <w:szCs w:val="20"/>
        </w:rPr>
        <w:t>’</w:t>
      </w:r>
      <w:r>
        <w:rPr>
          <w:rFonts w:ascii="Verdana" w:hAnsi="Verdana"/>
          <w:sz w:val="20"/>
          <w:szCs w:val="20"/>
        </w:rPr>
        <w:t xml:space="preserve"> or to assume liability to parties other than the owners captured in s37) then the additional liability is likely to be uninsured. </w:t>
      </w:r>
    </w:p>
    <w:p w14:paraId="09B1BFF4" w14:textId="4159EF4D" w:rsidR="008A099C" w:rsidRPr="00970183" w:rsidRDefault="002A4E69" w:rsidP="008206B6">
      <w:pPr>
        <w:pStyle w:val="ListParagraph"/>
        <w:numPr>
          <w:ilvl w:val="0"/>
          <w:numId w:val="6"/>
        </w:numPr>
        <w:jc w:val="both"/>
        <w:rPr>
          <w:rFonts w:ascii="Verdana" w:hAnsi="Verdana"/>
          <w:sz w:val="20"/>
          <w:szCs w:val="20"/>
        </w:rPr>
      </w:pPr>
      <w:r w:rsidRPr="00970183">
        <w:rPr>
          <w:rFonts w:ascii="Verdana" w:hAnsi="Verdana"/>
          <w:sz w:val="20"/>
          <w:szCs w:val="20"/>
        </w:rPr>
        <w:t>Have a clear and explicit scope for your services</w:t>
      </w:r>
      <w:r w:rsidR="005C1A75" w:rsidRPr="00970183">
        <w:rPr>
          <w:rFonts w:ascii="Verdana" w:hAnsi="Verdana"/>
          <w:sz w:val="20"/>
          <w:szCs w:val="20"/>
        </w:rPr>
        <w:t>.</w:t>
      </w:r>
      <w:r w:rsidR="00690B45">
        <w:rPr>
          <w:rFonts w:ascii="Verdana" w:hAnsi="Verdana"/>
          <w:sz w:val="20"/>
          <w:szCs w:val="20"/>
        </w:rPr>
        <w:t xml:space="preserve"> </w:t>
      </w:r>
      <w:r w:rsidR="005C1A75" w:rsidRPr="00970183">
        <w:rPr>
          <w:rFonts w:ascii="Verdana" w:hAnsi="Verdana"/>
          <w:sz w:val="20"/>
          <w:szCs w:val="20"/>
        </w:rPr>
        <w:t xml:space="preserve">If providing </w:t>
      </w:r>
      <w:r w:rsidR="00970183">
        <w:rPr>
          <w:rFonts w:ascii="Verdana" w:hAnsi="Verdana"/>
          <w:sz w:val="20"/>
          <w:szCs w:val="20"/>
        </w:rPr>
        <w:t>contract administration</w:t>
      </w:r>
      <w:r w:rsidR="005C1A75" w:rsidRPr="00970183">
        <w:rPr>
          <w:rFonts w:ascii="Verdana" w:hAnsi="Verdana"/>
          <w:sz w:val="20"/>
          <w:szCs w:val="20"/>
        </w:rPr>
        <w:t xml:space="preserve">, project management services, or </w:t>
      </w:r>
      <w:r w:rsidR="00970183">
        <w:rPr>
          <w:rFonts w:ascii="Verdana" w:hAnsi="Verdana"/>
          <w:sz w:val="20"/>
          <w:szCs w:val="20"/>
        </w:rPr>
        <w:t>similar, define your role carefully</w:t>
      </w:r>
      <w:r w:rsidR="003E74AA">
        <w:rPr>
          <w:rFonts w:ascii="Verdana" w:hAnsi="Verdana"/>
          <w:sz w:val="20"/>
          <w:szCs w:val="20"/>
        </w:rPr>
        <w:t xml:space="preserve"> and c</w:t>
      </w:r>
      <w:r w:rsidR="00970183">
        <w:rPr>
          <w:rFonts w:ascii="Verdana" w:hAnsi="Verdana"/>
          <w:sz w:val="20"/>
          <w:szCs w:val="20"/>
        </w:rPr>
        <w:t xml:space="preserve">larify that you are not </w:t>
      </w:r>
      <w:r w:rsidR="008206B6">
        <w:rPr>
          <w:rFonts w:ascii="Verdana" w:hAnsi="Verdana"/>
          <w:sz w:val="20"/>
          <w:szCs w:val="20"/>
        </w:rPr>
        <w:t>‘</w:t>
      </w:r>
      <w:r w:rsidR="00970183">
        <w:rPr>
          <w:rFonts w:ascii="Verdana" w:hAnsi="Verdana"/>
          <w:sz w:val="20"/>
          <w:szCs w:val="20"/>
        </w:rPr>
        <w:t>supervising</w:t>
      </w:r>
      <w:r w:rsidR="008206B6">
        <w:rPr>
          <w:rFonts w:ascii="Verdana" w:hAnsi="Verdana"/>
          <w:sz w:val="20"/>
          <w:szCs w:val="20"/>
        </w:rPr>
        <w:t>’</w:t>
      </w:r>
      <w:r w:rsidR="00970183">
        <w:rPr>
          <w:rFonts w:ascii="Verdana" w:hAnsi="Verdana"/>
          <w:sz w:val="20"/>
          <w:szCs w:val="20"/>
        </w:rPr>
        <w:t xml:space="preserve"> </w:t>
      </w:r>
      <w:r w:rsidR="003E74AA">
        <w:rPr>
          <w:rFonts w:ascii="Verdana" w:hAnsi="Verdana"/>
          <w:sz w:val="20"/>
          <w:szCs w:val="20"/>
        </w:rPr>
        <w:t xml:space="preserve">or having </w:t>
      </w:r>
      <w:r w:rsidR="00970183">
        <w:rPr>
          <w:rFonts w:ascii="Verdana" w:hAnsi="Verdana"/>
          <w:sz w:val="20"/>
          <w:szCs w:val="20"/>
        </w:rPr>
        <w:t>substantive control over the carrying out of any building work</w:t>
      </w:r>
      <w:r w:rsidR="00C70E9F">
        <w:rPr>
          <w:rFonts w:ascii="Verdana" w:hAnsi="Verdana"/>
          <w:sz w:val="20"/>
          <w:szCs w:val="20"/>
        </w:rPr>
        <w:t xml:space="preserve"> or design of any building work</w:t>
      </w:r>
      <w:r w:rsidR="008A099C" w:rsidRPr="00970183">
        <w:rPr>
          <w:rFonts w:ascii="Verdana" w:hAnsi="Verdana"/>
          <w:sz w:val="20"/>
          <w:szCs w:val="20"/>
        </w:rPr>
        <w:t xml:space="preserve">. </w:t>
      </w:r>
    </w:p>
    <w:p w14:paraId="166DC2A5" w14:textId="2BA0A35E" w:rsidR="00970183" w:rsidRDefault="00970183" w:rsidP="00970183">
      <w:pPr>
        <w:pStyle w:val="ListParagraph"/>
        <w:numPr>
          <w:ilvl w:val="0"/>
          <w:numId w:val="6"/>
        </w:numPr>
        <w:jc w:val="both"/>
        <w:rPr>
          <w:rFonts w:ascii="Verdana" w:hAnsi="Verdana"/>
          <w:sz w:val="20"/>
          <w:szCs w:val="20"/>
        </w:rPr>
      </w:pPr>
      <w:r>
        <w:rPr>
          <w:rFonts w:ascii="Verdana" w:hAnsi="Verdana"/>
          <w:sz w:val="20"/>
          <w:szCs w:val="20"/>
        </w:rPr>
        <w:t xml:space="preserve">Keep good records, including of older projects, </w:t>
      </w:r>
      <w:r w:rsidR="003E74AA">
        <w:rPr>
          <w:rFonts w:ascii="Verdana" w:hAnsi="Verdana"/>
          <w:sz w:val="20"/>
          <w:szCs w:val="20"/>
        </w:rPr>
        <w:t>for at least 10-15 years from completion due to the extended liability period introduced by s37</w:t>
      </w:r>
    </w:p>
    <w:p w14:paraId="0BD0F1D6" w14:textId="0D4B5616" w:rsidR="00970183" w:rsidRDefault="00970183" w:rsidP="00970183">
      <w:pPr>
        <w:pStyle w:val="ListParagraph"/>
        <w:numPr>
          <w:ilvl w:val="0"/>
          <w:numId w:val="6"/>
        </w:numPr>
        <w:jc w:val="both"/>
        <w:rPr>
          <w:rFonts w:ascii="Verdana" w:hAnsi="Verdana"/>
          <w:sz w:val="20"/>
          <w:szCs w:val="20"/>
        </w:rPr>
      </w:pPr>
      <w:r>
        <w:rPr>
          <w:rFonts w:ascii="Verdana" w:hAnsi="Verdana"/>
          <w:sz w:val="20"/>
          <w:szCs w:val="20"/>
        </w:rPr>
        <w:t xml:space="preserve">Notify your PI Insurer promptly if </w:t>
      </w:r>
      <w:r w:rsidR="003E74AA">
        <w:rPr>
          <w:rFonts w:ascii="Verdana" w:hAnsi="Verdana"/>
          <w:sz w:val="20"/>
          <w:szCs w:val="20"/>
        </w:rPr>
        <w:t>you do become aware of a potential claim against you under s37 or otherwise</w:t>
      </w:r>
    </w:p>
    <w:p w14:paraId="1B65663A" w14:textId="323E27D4" w:rsidR="00AB5661" w:rsidRPr="005C1A75" w:rsidRDefault="006C498D" w:rsidP="008206B6">
      <w:pPr>
        <w:rPr>
          <w:rFonts w:ascii="Verdana" w:hAnsi="Verdana"/>
          <w:sz w:val="20"/>
          <w:szCs w:val="20"/>
        </w:rPr>
      </w:pPr>
      <w:r>
        <w:rPr>
          <w:rFonts w:ascii="Verdana" w:hAnsi="Verdana"/>
          <w:sz w:val="20"/>
          <w:szCs w:val="20"/>
        </w:rPr>
        <w:t>Ultimately, you should always see legal advice and advi</w:t>
      </w:r>
      <w:r w:rsidR="004553AA">
        <w:rPr>
          <w:rFonts w:ascii="Verdana" w:hAnsi="Verdana"/>
          <w:sz w:val="20"/>
          <w:szCs w:val="20"/>
        </w:rPr>
        <w:t>c</w:t>
      </w:r>
      <w:r>
        <w:rPr>
          <w:rFonts w:ascii="Verdana" w:hAnsi="Verdana"/>
          <w:sz w:val="20"/>
          <w:szCs w:val="20"/>
        </w:rPr>
        <w:t>e from your insurer should you have any concerns about the DBP Act, especially as we start seeing more cases and matters relating to it evolve.</w:t>
      </w:r>
    </w:p>
    <w:sectPr w:rsidR="00AB5661" w:rsidRPr="005C1A75" w:rsidSect="006C498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1045B" w14:textId="77777777" w:rsidR="00DC376A" w:rsidRDefault="00DC376A" w:rsidP="0082314B">
      <w:pPr>
        <w:spacing w:after="0" w:line="240" w:lineRule="auto"/>
      </w:pPr>
      <w:r>
        <w:separator/>
      </w:r>
    </w:p>
  </w:endnote>
  <w:endnote w:type="continuationSeparator" w:id="0">
    <w:p w14:paraId="5EDA6268" w14:textId="77777777" w:rsidR="00DC376A" w:rsidRDefault="00DC376A" w:rsidP="00823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AAA3C" w14:textId="77777777" w:rsidR="00DC376A" w:rsidRDefault="00DC376A" w:rsidP="0082314B">
      <w:pPr>
        <w:spacing w:after="0" w:line="240" w:lineRule="auto"/>
      </w:pPr>
      <w:r>
        <w:separator/>
      </w:r>
    </w:p>
  </w:footnote>
  <w:footnote w:type="continuationSeparator" w:id="0">
    <w:p w14:paraId="3F0247EF" w14:textId="77777777" w:rsidR="00DC376A" w:rsidRDefault="00DC376A" w:rsidP="00823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93374"/>
    <w:multiLevelType w:val="hybridMultilevel"/>
    <w:tmpl w:val="39329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524057"/>
    <w:multiLevelType w:val="hybridMultilevel"/>
    <w:tmpl w:val="FAC4CD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3205F12"/>
    <w:multiLevelType w:val="hybridMultilevel"/>
    <w:tmpl w:val="0032F2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755F78"/>
    <w:multiLevelType w:val="hybridMultilevel"/>
    <w:tmpl w:val="9F4225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55D79FE"/>
    <w:multiLevelType w:val="hybridMultilevel"/>
    <w:tmpl w:val="FAD2E2A0"/>
    <w:lvl w:ilvl="0" w:tplc="C6A8D27E">
      <w:start w:val="1"/>
      <w:numFmt w:val="lowerLetter"/>
      <w:lvlText w:val="(%1)"/>
      <w:lvlJc w:val="left"/>
      <w:pPr>
        <w:ind w:left="720" w:hanging="360"/>
      </w:pPr>
      <w:rPr>
        <w:rFonts w:asciiTheme="minorHAnsi" w:hAnsiTheme="minorHAnsi" w:hint="default"/>
        <w:color w:val="000000"/>
        <w:sz w:val="25"/>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A700F41"/>
    <w:multiLevelType w:val="hybridMultilevel"/>
    <w:tmpl w:val="C9BCEB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E205417"/>
    <w:multiLevelType w:val="hybridMultilevel"/>
    <w:tmpl w:val="94AACA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16612807">
    <w:abstractNumId w:val="1"/>
  </w:num>
  <w:num w:numId="2" w16cid:durableId="1765413661">
    <w:abstractNumId w:val="6"/>
  </w:num>
  <w:num w:numId="3" w16cid:durableId="1483624221">
    <w:abstractNumId w:val="2"/>
  </w:num>
  <w:num w:numId="4" w16cid:durableId="1904678051">
    <w:abstractNumId w:val="5"/>
  </w:num>
  <w:num w:numId="5" w16cid:durableId="911966118">
    <w:abstractNumId w:val="3"/>
  </w:num>
  <w:num w:numId="6" w16cid:durableId="1028992323">
    <w:abstractNumId w:val="0"/>
  </w:num>
  <w:num w:numId="7" w16cid:durableId="1650969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8A1"/>
    <w:rsid w:val="000068EE"/>
    <w:rsid w:val="00023BB9"/>
    <w:rsid w:val="00024155"/>
    <w:rsid w:val="00024D2C"/>
    <w:rsid w:val="00054CE8"/>
    <w:rsid w:val="00085890"/>
    <w:rsid w:val="00087425"/>
    <w:rsid w:val="000B2EED"/>
    <w:rsid w:val="000D173B"/>
    <w:rsid w:val="000D5A09"/>
    <w:rsid w:val="000F3D09"/>
    <w:rsid w:val="0017108E"/>
    <w:rsid w:val="001A117F"/>
    <w:rsid w:val="001B565D"/>
    <w:rsid w:val="001B7A85"/>
    <w:rsid w:val="002449A4"/>
    <w:rsid w:val="00246F28"/>
    <w:rsid w:val="00261AF6"/>
    <w:rsid w:val="00264DCC"/>
    <w:rsid w:val="00283D51"/>
    <w:rsid w:val="002A11B1"/>
    <w:rsid w:val="002A4E69"/>
    <w:rsid w:val="00341D61"/>
    <w:rsid w:val="00367689"/>
    <w:rsid w:val="003D5EB8"/>
    <w:rsid w:val="003D7BE8"/>
    <w:rsid w:val="003E74AA"/>
    <w:rsid w:val="00425249"/>
    <w:rsid w:val="004408E9"/>
    <w:rsid w:val="00447494"/>
    <w:rsid w:val="004553AA"/>
    <w:rsid w:val="004624D7"/>
    <w:rsid w:val="00475585"/>
    <w:rsid w:val="00484075"/>
    <w:rsid w:val="00496F10"/>
    <w:rsid w:val="004A569C"/>
    <w:rsid w:val="004B4FF2"/>
    <w:rsid w:val="004C0ABD"/>
    <w:rsid w:val="00540D00"/>
    <w:rsid w:val="005C1A75"/>
    <w:rsid w:val="005C743E"/>
    <w:rsid w:val="005C75D2"/>
    <w:rsid w:val="005F5A91"/>
    <w:rsid w:val="00647D5A"/>
    <w:rsid w:val="0066148C"/>
    <w:rsid w:val="0067432F"/>
    <w:rsid w:val="006864C1"/>
    <w:rsid w:val="00690B45"/>
    <w:rsid w:val="00697F70"/>
    <w:rsid w:val="006B5035"/>
    <w:rsid w:val="006C498D"/>
    <w:rsid w:val="007108A1"/>
    <w:rsid w:val="007125BB"/>
    <w:rsid w:val="007457BE"/>
    <w:rsid w:val="007802C3"/>
    <w:rsid w:val="007C1649"/>
    <w:rsid w:val="007E54B4"/>
    <w:rsid w:val="007F1908"/>
    <w:rsid w:val="008035E7"/>
    <w:rsid w:val="008206B6"/>
    <w:rsid w:val="0082314B"/>
    <w:rsid w:val="00883E02"/>
    <w:rsid w:val="00887428"/>
    <w:rsid w:val="008953AD"/>
    <w:rsid w:val="008A099C"/>
    <w:rsid w:val="008B20DB"/>
    <w:rsid w:val="00901BE1"/>
    <w:rsid w:val="00920EEA"/>
    <w:rsid w:val="00941BE2"/>
    <w:rsid w:val="0096234A"/>
    <w:rsid w:val="00970183"/>
    <w:rsid w:val="009E3486"/>
    <w:rsid w:val="009E507F"/>
    <w:rsid w:val="009E64B2"/>
    <w:rsid w:val="00A25F47"/>
    <w:rsid w:val="00A302E2"/>
    <w:rsid w:val="00A35D4B"/>
    <w:rsid w:val="00A458E3"/>
    <w:rsid w:val="00A63591"/>
    <w:rsid w:val="00A932C9"/>
    <w:rsid w:val="00AB5661"/>
    <w:rsid w:val="00AC4E8C"/>
    <w:rsid w:val="00AD0A4F"/>
    <w:rsid w:val="00AE1B44"/>
    <w:rsid w:val="00AF451D"/>
    <w:rsid w:val="00B052B8"/>
    <w:rsid w:val="00B17104"/>
    <w:rsid w:val="00C2745D"/>
    <w:rsid w:val="00C34B6A"/>
    <w:rsid w:val="00C4709F"/>
    <w:rsid w:val="00C70E9F"/>
    <w:rsid w:val="00C82EB7"/>
    <w:rsid w:val="00CA5051"/>
    <w:rsid w:val="00D000E7"/>
    <w:rsid w:val="00D03EBF"/>
    <w:rsid w:val="00D057EE"/>
    <w:rsid w:val="00D07A1B"/>
    <w:rsid w:val="00D217AC"/>
    <w:rsid w:val="00DC376A"/>
    <w:rsid w:val="00E17FAC"/>
    <w:rsid w:val="00E4506B"/>
    <w:rsid w:val="00E4691C"/>
    <w:rsid w:val="00E7094F"/>
    <w:rsid w:val="00EB364C"/>
    <w:rsid w:val="00F052A5"/>
    <w:rsid w:val="00F672D8"/>
    <w:rsid w:val="00F84A8C"/>
    <w:rsid w:val="00FA1DB9"/>
    <w:rsid w:val="00FA4D33"/>
    <w:rsid w:val="00FE44C0"/>
    <w:rsid w:val="00FF53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5E42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7A85"/>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semiHidden/>
    <w:unhideWhenUsed/>
    <w:rsid w:val="00C34B6A"/>
    <w:rPr>
      <w:color w:val="0000FF"/>
      <w:u w:val="single"/>
    </w:rPr>
  </w:style>
  <w:style w:type="paragraph" w:styleId="ListParagraph">
    <w:name w:val="List Paragraph"/>
    <w:basedOn w:val="Normal"/>
    <w:uiPriority w:val="34"/>
    <w:qFormat/>
    <w:rsid w:val="00496F10"/>
    <w:pPr>
      <w:ind w:left="720"/>
      <w:contextualSpacing/>
    </w:pPr>
  </w:style>
  <w:style w:type="paragraph" w:styleId="Header">
    <w:name w:val="header"/>
    <w:basedOn w:val="Normal"/>
    <w:link w:val="HeaderChar"/>
    <w:uiPriority w:val="99"/>
    <w:unhideWhenUsed/>
    <w:rsid w:val="00823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14B"/>
  </w:style>
  <w:style w:type="paragraph" w:styleId="Footer">
    <w:name w:val="footer"/>
    <w:basedOn w:val="Normal"/>
    <w:link w:val="FooterChar"/>
    <w:uiPriority w:val="99"/>
    <w:unhideWhenUsed/>
    <w:rsid w:val="00823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14B"/>
  </w:style>
  <w:style w:type="paragraph" w:styleId="FootnoteText">
    <w:name w:val="footnote text"/>
    <w:basedOn w:val="Normal"/>
    <w:link w:val="FootnoteTextChar"/>
    <w:uiPriority w:val="99"/>
    <w:semiHidden/>
    <w:unhideWhenUsed/>
    <w:rsid w:val="000858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5890"/>
    <w:rPr>
      <w:sz w:val="20"/>
      <w:szCs w:val="20"/>
    </w:rPr>
  </w:style>
  <w:style w:type="character" w:styleId="FootnoteReference">
    <w:name w:val="footnote reference"/>
    <w:basedOn w:val="DefaultParagraphFont"/>
    <w:uiPriority w:val="99"/>
    <w:semiHidden/>
    <w:unhideWhenUsed/>
    <w:rsid w:val="00085890"/>
    <w:rPr>
      <w:vertAlign w:val="superscript"/>
    </w:rPr>
  </w:style>
  <w:style w:type="paragraph" w:styleId="NormalWeb">
    <w:name w:val="Normal (Web)"/>
    <w:basedOn w:val="Normal"/>
    <w:uiPriority w:val="99"/>
    <w:semiHidden/>
    <w:unhideWhenUsed/>
    <w:rsid w:val="000068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B17104"/>
    <w:pPr>
      <w:spacing w:after="0" w:line="240" w:lineRule="auto"/>
    </w:pPr>
  </w:style>
  <w:style w:type="character" w:styleId="CommentReference">
    <w:name w:val="annotation reference"/>
    <w:basedOn w:val="DefaultParagraphFont"/>
    <w:uiPriority w:val="99"/>
    <w:semiHidden/>
    <w:unhideWhenUsed/>
    <w:rsid w:val="00B17104"/>
    <w:rPr>
      <w:sz w:val="16"/>
      <w:szCs w:val="16"/>
    </w:rPr>
  </w:style>
  <w:style w:type="paragraph" w:styleId="CommentText">
    <w:name w:val="annotation text"/>
    <w:basedOn w:val="Normal"/>
    <w:link w:val="CommentTextChar"/>
    <w:uiPriority w:val="99"/>
    <w:semiHidden/>
    <w:unhideWhenUsed/>
    <w:rsid w:val="00B17104"/>
    <w:pPr>
      <w:spacing w:line="240" w:lineRule="auto"/>
    </w:pPr>
    <w:rPr>
      <w:sz w:val="20"/>
      <w:szCs w:val="20"/>
    </w:rPr>
  </w:style>
  <w:style w:type="character" w:customStyle="1" w:styleId="CommentTextChar">
    <w:name w:val="Comment Text Char"/>
    <w:basedOn w:val="DefaultParagraphFont"/>
    <w:link w:val="CommentText"/>
    <w:uiPriority w:val="99"/>
    <w:semiHidden/>
    <w:rsid w:val="00B17104"/>
    <w:rPr>
      <w:sz w:val="20"/>
      <w:szCs w:val="20"/>
    </w:rPr>
  </w:style>
  <w:style w:type="paragraph" w:styleId="CommentSubject">
    <w:name w:val="annotation subject"/>
    <w:basedOn w:val="CommentText"/>
    <w:next w:val="CommentText"/>
    <w:link w:val="CommentSubjectChar"/>
    <w:uiPriority w:val="99"/>
    <w:semiHidden/>
    <w:unhideWhenUsed/>
    <w:rsid w:val="00B17104"/>
    <w:rPr>
      <w:b/>
      <w:bCs/>
    </w:rPr>
  </w:style>
  <w:style w:type="character" w:customStyle="1" w:styleId="CommentSubjectChar">
    <w:name w:val="Comment Subject Char"/>
    <w:basedOn w:val="CommentTextChar"/>
    <w:link w:val="CommentSubject"/>
    <w:uiPriority w:val="99"/>
    <w:semiHidden/>
    <w:rsid w:val="00B171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945659">
      <w:bodyDiv w:val="1"/>
      <w:marLeft w:val="0"/>
      <w:marRight w:val="0"/>
      <w:marTop w:val="0"/>
      <w:marBottom w:val="0"/>
      <w:divBdr>
        <w:top w:val="none" w:sz="0" w:space="0" w:color="auto"/>
        <w:left w:val="none" w:sz="0" w:space="0" w:color="auto"/>
        <w:bottom w:val="none" w:sz="0" w:space="0" w:color="auto"/>
        <w:right w:val="none" w:sz="0" w:space="0" w:color="auto"/>
      </w:divBdr>
      <w:divsChild>
        <w:div w:id="1404110018">
          <w:blockQuote w:val="1"/>
          <w:marLeft w:val="720"/>
          <w:marRight w:val="720"/>
          <w:marTop w:val="100"/>
          <w:marBottom w:val="100"/>
          <w:divBdr>
            <w:top w:val="none" w:sz="0" w:space="0" w:color="auto"/>
            <w:left w:val="none" w:sz="0" w:space="0" w:color="auto"/>
            <w:bottom w:val="none" w:sz="0" w:space="0" w:color="auto"/>
            <w:right w:val="none" w:sz="0" w:space="0" w:color="auto"/>
          </w:divBdr>
        </w:div>
        <w:div w:id="565410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263762">
              <w:blockQuote w:val="1"/>
              <w:marLeft w:val="720"/>
              <w:marRight w:val="720"/>
              <w:marTop w:val="100"/>
              <w:marBottom w:val="100"/>
              <w:divBdr>
                <w:top w:val="none" w:sz="0" w:space="0" w:color="auto"/>
                <w:left w:val="none" w:sz="0" w:space="0" w:color="auto"/>
                <w:bottom w:val="none" w:sz="0" w:space="0" w:color="auto"/>
                <w:right w:val="none" w:sz="0" w:space="0" w:color="auto"/>
              </w:divBdr>
            </w:div>
            <w:div w:id="842010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83934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661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03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9457946">
      <w:bodyDiv w:val="1"/>
      <w:marLeft w:val="0"/>
      <w:marRight w:val="0"/>
      <w:marTop w:val="0"/>
      <w:marBottom w:val="0"/>
      <w:divBdr>
        <w:top w:val="none" w:sz="0" w:space="0" w:color="auto"/>
        <w:left w:val="none" w:sz="0" w:space="0" w:color="auto"/>
        <w:bottom w:val="none" w:sz="0" w:space="0" w:color="auto"/>
        <w:right w:val="none" w:sz="0" w:space="0" w:color="auto"/>
      </w:divBdr>
    </w:div>
    <w:div w:id="1454980495">
      <w:bodyDiv w:val="1"/>
      <w:marLeft w:val="0"/>
      <w:marRight w:val="0"/>
      <w:marTop w:val="0"/>
      <w:marBottom w:val="0"/>
      <w:divBdr>
        <w:top w:val="none" w:sz="0" w:space="0" w:color="auto"/>
        <w:left w:val="none" w:sz="0" w:space="0" w:color="auto"/>
        <w:bottom w:val="none" w:sz="0" w:space="0" w:color="auto"/>
        <w:right w:val="none" w:sz="0" w:space="0" w:color="auto"/>
      </w:divBdr>
      <w:divsChild>
        <w:div w:id="1325817053">
          <w:blockQuote w:val="1"/>
          <w:marLeft w:val="720"/>
          <w:marRight w:val="720"/>
          <w:marTop w:val="100"/>
          <w:marBottom w:val="100"/>
          <w:divBdr>
            <w:top w:val="none" w:sz="0" w:space="0" w:color="auto"/>
            <w:left w:val="none" w:sz="0" w:space="0" w:color="auto"/>
            <w:bottom w:val="none" w:sz="0" w:space="0" w:color="auto"/>
            <w:right w:val="none" w:sz="0" w:space="0" w:color="auto"/>
          </w:divBdr>
        </w:div>
        <w:div w:id="796992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0307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525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112013">
      <w:bodyDiv w:val="1"/>
      <w:marLeft w:val="0"/>
      <w:marRight w:val="0"/>
      <w:marTop w:val="0"/>
      <w:marBottom w:val="0"/>
      <w:divBdr>
        <w:top w:val="none" w:sz="0" w:space="0" w:color="auto"/>
        <w:left w:val="none" w:sz="0" w:space="0" w:color="auto"/>
        <w:bottom w:val="none" w:sz="0" w:space="0" w:color="auto"/>
        <w:right w:val="none" w:sz="0" w:space="0" w:color="auto"/>
      </w:divBdr>
      <w:divsChild>
        <w:div w:id="786391361">
          <w:blockQuote w:val="1"/>
          <w:marLeft w:val="720"/>
          <w:marRight w:val="720"/>
          <w:marTop w:val="100"/>
          <w:marBottom w:val="100"/>
          <w:divBdr>
            <w:top w:val="none" w:sz="0" w:space="0" w:color="auto"/>
            <w:left w:val="none" w:sz="0" w:space="0" w:color="auto"/>
            <w:bottom w:val="none" w:sz="0" w:space="0" w:color="auto"/>
            <w:right w:val="none" w:sz="0" w:space="0" w:color="auto"/>
          </w:divBdr>
        </w:div>
        <w:div w:id="4425005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422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217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52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2022-09-21T05:02:00Z</dcterms:created>
  <dcterms:modified xsi:type="dcterms:W3CDTF">2022-09-21T05:02:00Z</dcterms:modified>
</cp:coreProperties>
</file>